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简体" w:hAnsi="方正小标宋简体" w:eastAsia="方正小标宋简体" w:cs="方正小标宋简体"/>
          <w:b w:val="0"/>
          <w:bCs w:val="0"/>
          <w:sz w:val="52"/>
          <w:szCs w:val="52"/>
        </w:rPr>
      </w:pP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简体" w:hAnsi="方正小标宋简体" w:eastAsia="方正小标宋简体" w:cs="方正小标宋简体"/>
          <w:b w:val="0"/>
          <w:bCs w:val="0"/>
          <w:sz w:val="52"/>
          <w:szCs w:val="52"/>
        </w:rPr>
      </w:pP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简体" w:hAnsi="方正小标宋简体" w:eastAsia="方正小标宋简体" w:cs="方正小标宋简体"/>
          <w:b w:val="0"/>
          <w:bCs w:val="0"/>
          <w:sz w:val="52"/>
          <w:szCs w:val="52"/>
        </w:rPr>
      </w:pP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简体" w:hAnsi="方正小标宋简体" w:eastAsia="方正小标宋简体" w:cs="方正小标宋简体"/>
          <w:b w:val="0"/>
          <w:bCs w:val="0"/>
          <w:sz w:val="52"/>
          <w:szCs w:val="52"/>
        </w:rPr>
      </w:pP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简体" w:hAnsi="方正小标宋简体" w:eastAsia="方正小标宋简体" w:cs="方正小标宋简体"/>
          <w:b w:val="0"/>
          <w:bCs w:val="0"/>
          <w:sz w:val="52"/>
          <w:szCs w:val="52"/>
        </w:rPr>
      </w:pPr>
      <w:r>
        <w:rPr>
          <w:rFonts w:hint="eastAsia" w:ascii="方正小标宋简体" w:hAnsi="方正小标宋简体" w:eastAsia="方正小标宋简体" w:cs="方正小标宋简体"/>
          <w:b w:val="0"/>
          <w:bCs w:val="0"/>
          <w:sz w:val="52"/>
          <w:szCs w:val="52"/>
        </w:rPr>
        <w:t>安顺市</w:t>
      </w:r>
      <w:r>
        <w:rPr>
          <w:rFonts w:hint="eastAsia" w:ascii="方正小标宋简体" w:hAnsi="方正小标宋简体" w:eastAsia="方正小标宋简体" w:cs="方正小标宋简体"/>
          <w:b w:val="0"/>
          <w:bCs w:val="0"/>
          <w:sz w:val="52"/>
          <w:szCs w:val="52"/>
          <w:lang w:eastAsia="zh-CN"/>
        </w:rPr>
        <w:t>就业</w:t>
      </w:r>
      <w:r>
        <w:rPr>
          <w:rFonts w:hint="eastAsia" w:ascii="方正小标宋简体" w:hAnsi="方正小标宋简体" w:eastAsia="方正小标宋简体" w:cs="方正小标宋简体"/>
          <w:b w:val="0"/>
          <w:bCs w:val="0"/>
          <w:sz w:val="52"/>
          <w:szCs w:val="52"/>
        </w:rPr>
        <w:t>局</w:t>
      </w: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华文中宋" w:hAnsi="华文中宋" w:eastAsia="华文中宋"/>
          <w:b/>
          <w:bCs/>
          <w:sz w:val="52"/>
          <w:szCs w:val="52"/>
        </w:rPr>
      </w:pPr>
      <w:r>
        <w:rPr>
          <w:rFonts w:hint="eastAsia" w:ascii="方正小标宋简体" w:hAnsi="方正小标宋简体" w:eastAsia="方正小标宋简体" w:cs="方正小标宋简体"/>
          <w:b w:val="0"/>
          <w:bCs w:val="0"/>
          <w:sz w:val="52"/>
          <w:szCs w:val="52"/>
          <w:lang w:val="en-US" w:eastAsia="zh-CN"/>
        </w:rPr>
        <w:t>2021</w:t>
      </w:r>
      <w:r>
        <w:rPr>
          <w:rFonts w:hint="eastAsia" w:ascii="方正小标宋简体" w:hAnsi="方正小标宋简体" w:eastAsia="方正小标宋简体" w:cs="方正小标宋简体"/>
          <w:b w:val="0"/>
          <w:bCs w:val="0"/>
          <w:sz w:val="52"/>
          <w:szCs w:val="52"/>
        </w:rPr>
        <w:t>年</w:t>
      </w:r>
      <w:r>
        <w:rPr>
          <w:rFonts w:hint="eastAsia" w:ascii="方正小标宋简体" w:hAnsi="方正小标宋简体" w:eastAsia="方正小标宋简体" w:cs="方正小标宋简体"/>
          <w:b w:val="0"/>
          <w:bCs w:val="0"/>
          <w:sz w:val="52"/>
          <w:szCs w:val="52"/>
          <w:lang w:eastAsia="zh-CN"/>
        </w:rPr>
        <w:t>度</w:t>
      </w:r>
      <w:r>
        <w:rPr>
          <w:rFonts w:hint="eastAsia" w:ascii="方正小标宋简体" w:hAnsi="方正小标宋简体" w:eastAsia="方正小标宋简体" w:cs="方正小标宋简体"/>
          <w:b w:val="0"/>
          <w:bCs w:val="0"/>
          <w:sz w:val="52"/>
          <w:szCs w:val="52"/>
        </w:rPr>
        <w:t>部门预算及“三公”经费预算公开说明</w:t>
      </w:r>
    </w:p>
    <w:p>
      <w:pPr>
        <w:spacing w:line="576" w:lineRule="exact"/>
        <w:jc w:val="center"/>
        <w:rPr>
          <w:rFonts w:hint="eastAsia" w:ascii="方正小标宋简体" w:hAnsi="华文中宋" w:eastAsia="方正小标宋简体"/>
          <w:b/>
          <w:bCs/>
          <w:sz w:val="44"/>
          <w:szCs w:val="44"/>
        </w:rPr>
      </w:pPr>
    </w:p>
    <w:p>
      <w:pPr>
        <w:spacing w:line="576" w:lineRule="exact"/>
        <w:jc w:val="center"/>
        <w:rPr>
          <w:rFonts w:hint="eastAsia" w:ascii="方正小标宋简体" w:hAnsi="华文中宋" w:eastAsia="方正小标宋简体"/>
          <w:b/>
          <w:bCs/>
          <w:sz w:val="44"/>
          <w:szCs w:val="44"/>
        </w:rPr>
      </w:pPr>
    </w:p>
    <w:p>
      <w:pPr>
        <w:spacing w:line="576" w:lineRule="exact"/>
        <w:jc w:val="center"/>
        <w:rPr>
          <w:rFonts w:hint="eastAsia" w:ascii="方正小标宋简体" w:hAnsi="华文中宋" w:eastAsia="方正小标宋简体"/>
          <w:b/>
          <w:bCs/>
          <w:sz w:val="44"/>
          <w:szCs w:val="44"/>
        </w:rPr>
      </w:pPr>
    </w:p>
    <w:p>
      <w:pPr>
        <w:spacing w:line="576" w:lineRule="exact"/>
        <w:jc w:val="center"/>
        <w:rPr>
          <w:rFonts w:hint="eastAsia" w:ascii="方正小标宋简体" w:hAnsi="华文中宋" w:eastAsia="方正小标宋简体"/>
          <w:b/>
          <w:bCs/>
          <w:sz w:val="44"/>
          <w:szCs w:val="44"/>
        </w:rPr>
      </w:pPr>
    </w:p>
    <w:p>
      <w:pPr>
        <w:spacing w:line="576" w:lineRule="exact"/>
        <w:jc w:val="both"/>
        <w:rPr>
          <w:rFonts w:hint="eastAsia" w:ascii="方正小标宋简体" w:hAnsi="华文中宋" w:eastAsia="方正小标宋简体"/>
          <w:b/>
          <w:bCs/>
          <w:sz w:val="44"/>
          <w:szCs w:val="44"/>
        </w:rPr>
      </w:pPr>
    </w:p>
    <w:p>
      <w:pPr>
        <w:spacing w:line="576" w:lineRule="exact"/>
        <w:jc w:val="center"/>
        <w:rPr>
          <w:rFonts w:hint="eastAsia" w:ascii="方正小标宋简体" w:hAnsi="华文中宋" w:eastAsia="方正小标宋简体"/>
          <w:b/>
          <w:bCs/>
          <w:sz w:val="44"/>
          <w:szCs w:val="44"/>
        </w:rPr>
      </w:pPr>
    </w:p>
    <w:p/>
    <w:p>
      <w:pPr>
        <w:spacing w:line="560" w:lineRule="exact"/>
        <w:jc w:val="center"/>
        <w:rPr>
          <w:rFonts w:hint="eastAsia" w:ascii="黑体" w:hAnsi="黑体" w:eastAsia="黑体" w:cs="黑体"/>
          <w:b/>
          <w:bCs/>
          <w:sz w:val="44"/>
          <w:szCs w:val="44"/>
        </w:rPr>
      </w:pPr>
      <w:r>
        <w:rPr>
          <w:rFonts w:hint="eastAsia" w:ascii="黑体" w:hAnsi="黑体" w:eastAsia="黑体" w:cs="黑体"/>
          <w:b/>
          <w:bCs/>
          <w:sz w:val="44"/>
          <w:szCs w:val="44"/>
        </w:rPr>
        <w:t>目    录</w:t>
      </w:r>
    </w:p>
    <w:p>
      <w:pPr>
        <w:spacing w:line="560" w:lineRule="exact"/>
        <w:jc w:val="center"/>
        <w:rPr>
          <w:rFonts w:hint="eastAsia" w:ascii="黑体" w:hAnsi="黑体" w:eastAsia="黑体" w:cs="黑体"/>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3" w:firstLineChars="200"/>
        <w:jc w:val="distribute"/>
        <w:textAlignment w:val="auto"/>
        <w:rPr>
          <w:rFonts w:hint="default" w:ascii="楷体" w:hAnsi="楷体" w:eastAsia="楷体" w:cs="楷体"/>
          <w:b w:val="0"/>
          <w:bCs w:val="0"/>
          <w:color w:val="000000"/>
          <w:sz w:val="32"/>
          <w:szCs w:val="32"/>
          <w:shd w:val="clear" w:color="auto" w:fill="auto"/>
          <w:lang w:val="en-US" w:eastAsia="zh-CN"/>
        </w:rPr>
      </w:pPr>
      <w:r>
        <w:rPr>
          <w:rFonts w:hint="eastAsia" w:ascii="楷体" w:hAnsi="楷体" w:eastAsia="楷体" w:cs="楷体"/>
          <w:b/>
          <w:bCs/>
          <w:color w:val="000000"/>
          <w:sz w:val="32"/>
          <w:szCs w:val="32"/>
          <w:shd w:val="clear" w:color="auto" w:fill="auto"/>
          <w:lang w:eastAsia="zh-CN"/>
        </w:rPr>
        <w:t>一、</w:t>
      </w:r>
      <w:r>
        <w:rPr>
          <w:rFonts w:hint="eastAsia" w:ascii="楷体" w:hAnsi="楷体" w:eastAsia="楷体" w:cs="楷体"/>
          <w:b/>
          <w:bCs/>
          <w:color w:val="000000"/>
          <w:sz w:val="32"/>
          <w:szCs w:val="32"/>
          <w:shd w:val="clear" w:color="auto" w:fill="auto"/>
        </w:rPr>
        <w:t>部门概</w:t>
      </w:r>
      <w:r>
        <w:rPr>
          <w:rFonts w:hint="eastAsia" w:ascii="楷体" w:hAnsi="楷体" w:eastAsia="楷体" w:cs="楷体"/>
          <w:b/>
          <w:bCs/>
          <w:color w:val="000000"/>
          <w:sz w:val="32"/>
          <w:szCs w:val="32"/>
          <w:shd w:val="clear" w:color="auto" w:fill="auto"/>
          <w:lang w:eastAsia="zh-CN"/>
        </w:rPr>
        <w:t>况……………………………………………………………………………………</w:t>
      </w:r>
      <w:r>
        <w:rPr>
          <w:rFonts w:hint="eastAsia" w:ascii="楷体" w:hAnsi="楷体" w:eastAsia="楷体" w:cs="楷体"/>
          <w:b/>
          <w:bCs/>
          <w:color w:val="000000"/>
          <w:sz w:val="32"/>
          <w:szCs w:val="32"/>
          <w:shd w:val="clear" w:color="auto" w:fill="auto"/>
          <w:lang w:val="en-US" w:eastAsia="zh-CN"/>
        </w:rPr>
        <w:t>1</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b w:val="0"/>
          <w:bCs w:val="0"/>
          <w:color w:val="auto"/>
          <w:sz w:val="28"/>
          <w:szCs w:val="28"/>
          <w:lang w:eastAsia="zh-CN"/>
        </w:rPr>
        <w:t>（一）</w:t>
      </w:r>
      <w:r>
        <w:rPr>
          <w:rFonts w:hint="eastAsia" w:ascii="仿宋" w:hAnsi="仿宋" w:eastAsia="仿宋" w:cs="仿宋"/>
          <w:b w:val="0"/>
          <w:bCs w:val="0"/>
          <w:color w:val="auto"/>
          <w:sz w:val="28"/>
          <w:szCs w:val="28"/>
        </w:rPr>
        <w:t>部门</w:t>
      </w:r>
      <w:r>
        <w:rPr>
          <w:rFonts w:hint="eastAsia" w:ascii="仿宋" w:hAnsi="仿宋" w:eastAsia="仿宋" w:cs="仿宋"/>
          <w:b w:val="0"/>
          <w:bCs w:val="0"/>
          <w:color w:val="auto"/>
          <w:sz w:val="28"/>
          <w:szCs w:val="28"/>
          <w:lang w:eastAsia="zh-CN"/>
        </w:rPr>
        <w:t>主要</w:t>
      </w:r>
      <w:r>
        <w:rPr>
          <w:rFonts w:hint="eastAsia" w:ascii="仿宋" w:hAnsi="仿宋" w:eastAsia="仿宋" w:cs="仿宋"/>
          <w:b w:val="0"/>
          <w:bCs w:val="0"/>
          <w:color w:val="auto"/>
          <w:sz w:val="28"/>
          <w:szCs w:val="28"/>
        </w:rPr>
        <w:t>职能</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b w:val="0"/>
          <w:bCs w:val="0"/>
          <w:color w:val="auto"/>
          <w:sz w:val="28"/>
          <w:szCs w:val="28"/>
          <w:lang w:eastAsia="zh-CN"/>
        </w:rPr>
        <w:t>（二）部门</w:t>
      </w:r>
      <w:r>
        <w:rPr>
          <w:rFonts w:hint="eastAsia" w:ascii="仿宋" w:hAnsi="仿宋" w:eastAsia="仿宋" w:cs="仿宋"/>
          <w:b w:val="0"/>
          <w:bCs w:val="0"/>
          <w:color w:val="auto"/>
          <w:sz w:val="28"/>
          <w:szCs w:val="28"/>
        </w:rPr>
        <w:t>预算单位构成</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（三）部门人员构成</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w:t>
      </w:r>
    </w:p>
    <w:p>
      <w:pPr>
        <w:pStyle w:val="12"/>
        <w:pageBreakBefore w:val="0"/>
        <w:numPr>
          <w:ilvl w:val="0"/>
          <w:numId w:val="0"/>
        </w:numPr>
        <w:kinsoku/>
        <w:wordWrap/>
        <w:overflowPunct/>
        <w:topLinePunct w:val="0"/>
        <w:autoSpaceDN/>
        <w:bidi w:val="0"/>
        <w:snapToGrid/>
        <w:spacing w:line="440" w:lineRule="exact"/>
        <w:ind w:firstLine="643" w:firstLineChars="200"/>
        <w:jc w:val="distribute"/>
        <w:textAlignment w:val="auto"/>
        <w:rPr>
          <w:rFonts w:hint="default" w:ascii="仿宋" w:hAnsi="仿宋" w:eastAsia="仿宋" w:cs="仿宋"/>
          <w:b w:val="0"/>
          <w:bCs w:val="0"/>
          <w:color w:val="000000"/>
          <w:sz w:val="32"/>
          <w:szCs w:val="32"/>
          <w:shd w:val="clear" w:color="auto" w:fill="auto"/>
          <w:lang w:val="en-US"/>
        </w:rPr>
      </w:pPr>
      <w:r>
        <w:rPr>
          <w:rFonts w:hint="eastAsia" w:ascii="楷体" w:hAnsi="楷体" w:eastAsia="楷体" w:cs="楷体"/>
          <w:b/>
          <w:bCs/>
          <w:color w:val="000000"/>
          <w:kern w:val="2"/>
          <w:sz w:val="32"/>
          <w:szCs w:val="32"/>
          <w:shd w:val="clear" w:color="auto" w:fill="auto"/>
          <w:lang w:val="en-US" w:eastAsia="zh-CN" w:bidi="ar-SA"/>
        </w:rPr>
        <w:t>二、部门预算公开报表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b w:val="0"/>
          <w:bCs w:val="0"/>
          <w:color w:val="auto"/>
          <w:sz w:val="28"/>
          <w:szCs w:val="28"/>
          <w:lang w:eastAsia="zh-CN"/>
        </w:rPr>
        <w:t>（一）部门收支总表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3</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eastAsia="zh-CN"/>
        </w:rPr>
        <w:t>（二）部门收入总表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4</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b w:val="0"/>
          <w:bCs w:val="0"/>
          <w:color w:val="auto"/>
          <w:sz w:val="28"/>
          <w:szCs w:val="28"/>
          <w:lang w:eastAsia="zh-CN"/>
        </w:rPr>
        <w:t>（三）部门支出总表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6</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b w:val="0"/>
          <w:bCs w:val="0"/>
          <w:color w:val="auto"/>
          <w:sz w:val="28"/>
          <w:szCs w:val="28"/>
          <w:lang w:eastAsia="zh-CN"/>
        </w:rPr>
        <w:t>（四）财政拨款收支总表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8</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b w:val="0"/>
          <w:bCs w:val="0"/>
          <w:color w:val="auto"/>
          <w:sz w:val="28"/>
          <w:szCs w:val="28"/>
          <w:lang w:eastAsia="zh-CN"/>
        </w:rPr>
        <w:t>（五）一般公共预算支出表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9</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b w:val="0"/>
          <w:bCs w:val="0"/>
          <w:color w:val="auto"/>
          <w:sz w:val="28"/>
          <w:szCs w:val="28"/>
          <w:lang w:eastAsia="zh-CN"/>
        </w:rPr>
        <w:t>（六）一般公共预算支出明细表（按经济分类）</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11</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b w:val="0"/>
          <w:bCs w:val="0"/>
          <w:color w:val="auto"/>
          <w:sz w:val="28"/>
          <w:szCs w:val="28"/>
          <w:lang w:eastAsia="zh-CN"/>
        </w:rPr>
        <w:t>（七）一般公共预算“三公”经费财政拨款支出表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15</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b w:val="0"/>
          <w:bCs w:val="0"/>
          <w:color w:val="auto"/>
          <w:sz w:val="28"/>
          <w:szCs w:val="28"/>
          <w:lang w:eastAsia="zh-CN"/>
        </w:rPr>
        <w:t>（八）政府性基金预算支出表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16</w:t>
      </w:r>
    </w:p>
    <w:p>
      <w:pPr>
        <w:pStyle w:val="12"/>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（九）</w:t>
      </w:r>
      <w:r>
        <w:rPr>
          <w:rFonts w:hint="eastAsia" w:ascii="仿宋" w:hAnsi="仿宋" w:eastAsia="仿宋" w:cs="仿宋"/>
          <w:b w:val="0"/>
          <w:bCs w:val="0"/>
          <w:color w:val="auto"/>
          <w:sz w:val="28"/>
          <w:szCs w:val="28"/>
          <w:lang w:eastAsia="zh-CN"/>
        </w:rPr>
        <w:t>国有资本经营预算支出表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17</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3" w:firstLineChars="200"/>
        <w:jc w:val="distribute"/>
        <w:textAlignment w:val="auto"/>
        <w:rPr>
          <w:rFonts w:hint="default" w:ascii="楷体" w:hAnsi="楷体" w:eastAsia="楷体" w:cs="楷体"/>
          <w:b w:val="0"/>
          <w:bCs w:val="0"/>
          <w:color w:val="000000"/>
          <w:kern w:val="2"/>
          <w:sz w:val="32"/>
          <w:szCs w:val="32"/>
          <w:shd w:val="clear" w:color="auto" w:fill="auto"/>
          <w:lang w:val="en-US" w:eastAsia="zh-CN" w:bidi="ar-SA"/>
        </w:rPr>
      </w:pPr>
      <w:r>
        <w:rPr>
          <w:rFonts w:hint="eastAsia" w:ascii="楷体" w:hAnsi="楷体" w:eastAsia="楷体" w:cs="楷体"/>
          <w:b/>
          <w:bCs/>
          <w:color w:val="000000"/>
          <w:kern w:val="2"/>
          <w:sz w:val="32"/>
          <w:szCs w:val="32"/>
          <w:shd w:val="clear" w:color="auto" w:fill="auto"/>
          <w:lang w:val="en-US" w:eastAsia="zh-CN" w:bidi="ar-SA"/>
        </w:rPr>
        <w:t>三、部门预算安排说明</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18</w:t>
      </w:r>
    </w:p>
    <w:p>
      <w:pPr>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sz w:val="28"/>
          <w:szCs w:val="28"/>
          <w:lang w:eastAsia="zh-CN"/>
        </w:rPr>
        <w:t>（一）部门收支总表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18</w:t>
      </w:r>
    </w:p>
    <w:p>
      <w:pPr>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sz w:val="28"/>
          <w:szCs w:val="28"/>
          <w:lang w:eastAsia="zh-CN"/>
        </w:rPr>
        <w:t>（二）部门收入总表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18</w:t>
      </w:r>
    </w:p>
    <w:p>
      <w:pPr>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sz w:val="28"/>
          <w:szCs w:val="28"/>
          <w:lang w:eastAsia="zh-CN"/>
        </w:rPr>
        <w:t>（三）部门支出总表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19</w:t>
      </w:r>
    </w:p>
    <w:p>
      <w:pPr>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sz w:val="28"/>
          <w:szCs w:val="28"/>
          <w:lang w:eastAsia="zh-CN"/>
        </w:rPr>
        <w:t>（四）财政拨款收支总表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21</w:t>
      </w:r>
    </w:p>
    <w:p>
      <w:pPr>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sz w:val="28"/>
          <w:szCs w:val="28"/>
          <w:lang w:eastAsia="zh-CN"/>
        </w:rPr>
        <w:t>（五）一般公共预算支出表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21</w:t>
      </w:r>
    </w:p>
    <w:p>
      <w:pPr>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仿宋" w:hAnsi="仿宋" w:eastAsia="仿宋" w:cs="仿宋"/>
          <w:sz w:val="28"/>
          <w:szCs w:val="28"/>
          <w:lang w:val="en-US" w:eastAsia="zh-CN"/>
        </w:rPr>
      </w:pPr>
      <w:r>
        <w:rPr>
          <w:rFonts w:hint="eastAsia" w:ascii="仿宋" w:hAnsi="仿宋" w:eastAsia="仿宋" w:cs="仿宋"/>
          <w:sz w:val="28"/>
          <w:szCs w:val="28"/>
          <w:lang w:eastAsia="zh-CN"/>
        </w:rPr>
        <w:t>（六）一般公共预算基本支出明细表（按经济分类）</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21</w:t>
      </w:r>
    </w:p>
    <w:p>
      <w:pPr>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sz w:val="28"/>
          <w:szCs w:val="28"/>
          <w:lang w:eastAsia="zh-CN"/>
        </w:rPr>
        <w:t>（七）一般公共预算“三公”经费财政拨款支出表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22</w:t>
      </w:r>
    </w:p>
    <w:p>
      <w:pPr>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楷体" w:hAnsi="楷体" w:eastAsia="楷体" w:cs="楷体"/>
          <w:b/>
          <w:bCs/>
          <w:color w:val="000000"/>
          <w:sz w:val="32"/>
          <w:szCs w:val="32"/>
          <w:shd w:val="clear" w:color="auto" w:fill="auto"/>
          <w:lang w:val="en-US" w:eastAsia="zh-CN"/>
        </w:rPr>
      </w:pPr>
      <w:r>
        <w:rPr>
          <w:rFonts w:hint="eastAsia" w:ascii="仿宋" w:hAnsi="仿宋" w:eastAsia="仿宋" w:cs="仿宋"/>
          <w:sz w:val="28"/>
          <w:szCs w:val="28"/>
          <w:lang w:eastAsia="zh-CN"/>
        </w:rPr>
        <w:t>（八）政府性基金预算支出表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22</w:t>
      </w:r>
    </w:p>
    <w:p>
      <w:pPr>
        <w:pageBreakBefore w:val="0"/>
        <w:numPr>
          <w:ilvl w:val="0"/>
          <w:numId w:val="0"/>
        </w:numPr>
        <w:kinsoku/>
        <w:wordWrap/>
        <w:overflowPunct/>
        <w:topLinePunct w:val="0"/>
        <w:autoSpaceDN/>
        <w:bidi w:val="0"/>
        <w:snapToGrid/>
        <w:spacing w:line="440" w:lineRule="exact"/>
        <w:ind w:firstLine="1120" w:firstLineChars="400"/>
        <w:jc w:val="distribute"/>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（九）</w:t>
      </w:r>
      <w:r>
        <w:rPr>
          <w:rFonts w:hint="eastAsia" w:ascii="仿宋" w:hAnsi="仿宋" w:eastAsia="仿宋" w:cs="仿宋"/>
          <w:sz w:val="28"/>
          <w:szCs w:val="28"/>
          <w:lang w:eastAsia="zh-CN"/>
        </w:rPr>
        <w:t>国有资本经营预算支出表</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22</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3" w:firstLineChars="200"/>
        <w:jc w:val="distribute"/>
        <w:textAlignment w:val="auto"/>
        <w:rPr>
          <w:rFonts w:hint="default" w:ascii="楷体" w:hAnsi="楷体" w:eastAsia="楷体" w:cs="楷体"/>
          <w:b/>
          <w:bCs/>
          <w:color w:val="000000"/>
          <w:kern w:val="2"/>
          <w:sz w:val="32"/>
          <w:szCs w:val="32"/>
          <w:shd w:val="clear" w:color="auto" w:fill="auto"/>
          <w:lang w:val="en-US" w:eastAsia="zh-CN" w:bidi="ar-SA"/>
        </w:rPr>
      </w:pPr>
      <w:r>
        <w:rPr>
          <w:rFonts w:hint="eastAsia" w:ascii="楷体" w:hAnsi="楷体" w:eastAsia="楷体" w:cs="楷体"/>
          <w:b/>
          <w:bCs/>
          <w:color w:val="000000"/>
          <w:kern w:val="2"/>
          <w:sz w:val="32"/>
          <w:szCs w:val="32"/>
          <w:shd w:val="clear" w:color="auto" w:fill="auto"/>
          <w:lang w:val="en-US" w:eastAsia="zh-CN" w:bidi="ar-SA"/>
        </w:rPr>
        <w:t>四、其他重要事项说明</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22</w:t>
      </w:r>
    </w:p>
    <w:p>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distribute"/>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（一）</w:t>
      </w:r>
      <w:r>
        <w:rPr>
          <w:rFonts w:hint="eastAsia" w:ascii="仿宋" w:hAnsi="仿宋" w:eastAsia="仿宋" w:cs="仿宋"/>
          <w:b w:val="0"/>
          <w:bCs w:val="0"/>
          <w:sz w:val="28"/>
          <w:szCs w:val="28"/>
        </w:rPr>
        <w:t>机关运行经费安排情况说明</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22</w:t>
      </w:r>
    </w:p>
    <w:p>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distribute"/>
        <w:textAlignment w:val="auto"/>
        <w:rPr>
          <w:rFonts w:hint="default" w:ascii="仿宋" w:hAnsi="仿宋" w:eastAsia="仿宋" w:cs="仿宋"/>
          <w:b w:val="0"/>
          <w:bCs w:val="0"/>
          <w:sz w:val="28"/>
          <w:szCs w:val="28"/>
          <w:lang w:val="en-US"/>
        </w:rPr>
      </w:pPr>
      <w:r>
        <w:rPr>
          <w:rFonts w:hint="eastAsia" w:ascii="仿宋" w:hAnsi="仿宋" w:eastAsia="仿宋" w:cs="仿宋"/>
          <w:b w:val="0"/>
          <w:bCs w:val="0"/>
          <w:sz w:val="28"/>
          <w:szCs w:val="28"/>
        </w:rPr>
        <w:t>（</w:t>
      </w:r>
      <w:r>
        <w:rPr>
          <w:rFonts w:hint="eastAsia" w:ascii="仿宋" w:hAnsi="仿宋" w:eastAsia="仿宋" w:cs="仿宋"/>
          <w:b w:val="0"/>
          <w:bCs w:val="0"/>
          <w:sz w:val="28"/>
          <w:szCs w:val="28"/>
          <w:lang w:eastAsia="zh-CN"/>
        </w:rPr>
        <w:t>二</w:t>
      </w:r>
      <w:r>
        <w:rPr>
          <w:rFonts w:hint="eastAsia" w:ascii="仿宋" w:hAnsi="仿宋" w:eastAsia="仿宋" w:cs="仿宋"/>
          <w:b w:val="0"/>
          <w:bCs w:val="0"/>
          <w:sz w:val="28"/>
          <w:szCs w:val="28"/>
        </w:rPr>
        <w:t>）政府采购情况说明</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23</w:t>
      </w:r>
    </w:p>
    <w:p>
      <w:pPr>
        <w:pStyle w:val="2"/>
        <w:pageBreakBefore w:val="0"/>
        <w:numPr>
          <w:ilvl w:val="0"/>
          <w:numId w:val="0"/>
        </w:numPr>
        <w:kinsoku/>
        <w:wordWrap/>
        <w:overflowPunct/>
        <w:topLinePunct w:val="0"/>
        <w:autoSpaceDN/>
        <w:bidi w:val="0"/>
        <w:snapToGrid/>
        <w:spacing w:before="0" w:beforeLines="0" w:after="0" w:afterLines="0" w:line="440" w:lineRule="exact"/>
        <w:ind w:firstLine="1120" w:firstLineChars="400"/>
        <w:jc w:val="distribute"/>
        <w:textAlignment w:val="auto"/>
        <w:rPr>
          <w:rFonts w:hint="default" w:ascii="仿宋" w:hAnsi="仿宋" w:eastAsia="仿宋" w:cs="仿宋"/>
          <w:b w:val="0"/>
          <w:bCs w:val="0"/>
          <w:sz w:val="28"/>
          <w:szCs w:val="28"/>
          <w:lang w:val="en-US"/>
        </w:rPr>
      </w:pPr>
      <w:r>
        <w:rPr>
          <w:rFonts w:hint="eastAsia" w:ascii="仿宋" w:hAnsi="仿宋" w:eastAsia="仿宋" w:cs="仿宋"/>
          <w:b w:val="0"/>
          <w:bCs w:val="0"/>
          <w:sz w:val="28"/>
          <w:szCs w:val="28"/>
        </w:rPr>
        <w:t>（</w:t>
      </w:r>
      <w:r>
        <w:rPr>
          <w:rFonts w:hint="eastAsia" w:ascii="仿宋" w:hAnsi="仿宋" w:eastAsia="仿宋" w:cs="仿宋"/>
          <w:b w:val="0"/>
          <w:bCs w:val="0"/>
          <w:sz w:val="28"/>
          <w:szCs w:val="28"/>
          <w:lang w:eastAsia="zh-CN"/>
        </w:rPr>
        <w:t>三</w:t>
      </w:r>
      <w:r>
        <w:rPr>
          <w:rFonts w:hint="eastAsia" w:ascii="仿宋" w:hAnsi="仿宋" w:eastAsia="仿宋" w:cs="仿宋"/>
          <w:b w:val="0"/>
          <w:bCs w:val="0"/>
          <w:sz w:val="28"/>
          <w:szCs w:val="28"/>
        </w:rPr>
        <w:t>）国有资产占有使用情况说明</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23</w:t>
      </w:r>
    </w:p>
    <w:p>
      <w:pPr>
        <w:pageBreakBefore w:val="0"/>
        <w:kinsoku/>
        <w:wordWrap/>
        <w:overflowPunct/>
        <w:topLinePunct w:val="0"/>
        <w:autoSpaceDN/>
        <w:bidi w:val="0"/>
        <w:snapToGrid/>
        <w:spacing w:line="440" w:lineRule="exact"/>
        <w:ind w:firstLine="1120" w:firstLineChars="400"/>
        <w:jc w:val="distribute"/>
        <w:textAlignment w:val="auto"/>
        <w:rPr>
          <w:rFonts w:hint="default" w:ascii="仿宋" w:hAnsi="仿宋" w:eastAsia="仿宋" w:cs="仿宋"/>
          <w:b w:val="0"/>
          <w:bCs w:val="0"/>
          <w:sz w:val="28"/>
          <w:szCs w:val="28"/>
          <w:lang w:val="en-US"/>
        </w:rPr>
      </w:pPr>
      <w:r>
        <w:rPr>
          <w:rFonts w:hint="eastAsia" w:ascii="仿宋" w:hAnsi="仿宋" w:eastAsia="仿宋" w:cs="仿宋"/>
          <w:b w:val="0"/>
          <w:bCs w:val="0"/>
          <w:sz w:val="28"/>
          <w:szCs w:val="28"/>
        </w:rPr>
        <w:t>（</w:t>
      </w:r>
      <w:r>
        <w:rPr>
          <w:rFonts w:hint="eastAsia" w:ascii="仿宋" w:hAnsi="仿宋" w:eastAsia="仿宋" w:cs="仿宋"/>
          <w:b w:val="0"/>
          <w:bCs w:val="0"/>
          <w:sz w:val="28"/>
          <w:szCs w:val="28"/>
          <w:lang w:eastAsia="zh-CN"/>
        </w:rPr>
        <w:t>四</w:t>
      </w:r>
      <w:r>
        <w:rPr>
          <w:rFonts w:hint="eastAsia" w:ascii="仿宋" w:hAnsi="仿宋" w:eastAsia="仿宋" w:cs="仿宋"/>
          <w:b w:val="0"/>
          <w:bCs w:val="0"/>
          <w:sz w:val="28"/>
          <w:szCs w:val="28"/>
        </w:rPr>
        <w:t>）预算绩效管理情况</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23</w:t>
      </w:r>
    </w:p>
    <w:p>
      <w:pPr>
        <w:pageBreakBefore w:val="0"/>
        <w:kinsoku/>
        <w:wordWrap/>
        <w:overflowPunct/>
        <w:topLinePunct w:val="0"/>
        <w:autoSpaceDN/>
        <w:bidi w:val="0"/>
        <w:snapToGrid/>
        <w:spacing w:line="440" w:lineRule="exact"/>
        <w:ind w:firstLine="1120" w:firstLineChars="400"/>
        <w:jc w:val="distribute"/>
        <w:textAlignment w:val="auto"/>
        <w:rPr>
          <w:rFonts w:hint="default" w:ascii="仿宋" w:hAnsi="仿宋" w:eastAsia="仿宋" w:cs="仿宋"/>
          <w:sz w:val="28"/>
          <w:szCs w:val="28"/>
          <w:lang w:val="en-US" w:eastAsia="zh-CN"/>
        </w:rPr>
      </w:pPr>
      <w:r>
        <w:rPr>
          <w:rFonts w:hint="eastAsia" w:ascii="仿宋" w:hAnsi="仿宋" w:eastAsia="仿宋" w:cs="仿宋"/>
          <w:b w:val="0"/>
          <w:bCs w:val="0"/>
          <w:sz w:val="28"/>
          <w:szCs w:val="28"/>
        </w:rPr>
        <w:t>（</w:t>
      </w:r>
      <w:r>
        <w:rPr>
          <w:rFonts w:hint="eastAsia" w:ascii="仿宋" w:hAnsi="仿宋" w:eastAsia="仿宋" w:cs="仿宋"/>
          <w:b w:val="0"/>
          <w:bCs w:val="0"/>
          <w:sz w:val="28"/>
          <w:szCs w:val="28"/>
          <w:lang w:eastAsia="zh-CN"/>
        </w:rPr>
        <w:t>五</w:t>
      </w:r>
      <w:r>
        <w:rPr>
          <w:rFonts w:hint="eastAsia" w:ascii="仿宋" w:hAnsi="仿宋" w:eastAsia="仿宋" w:cs="仿宋"/>
          <w:b w:val="0"/>
          <w:bCs w:val="0"/>
          <w:sz w:val="28"/>
          <w:szCs w:val="28"/>
        </w:rPr>
        <w:t>）项目支出安排情况说明</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25</w:t>
      </w:r>
    </w:p>
    <w:p>
      <w:pPr>
        <w:pageBreakBefore w:val="0"/>
        <w:kinsoku/>
        <w:wordWrap/>
        <w:overflowPunct/>
        <w:topLinePunct w:val="0"/>
        <w:autoSpaceDN/>
        <w:bidi w:val="0"/>
        <w:snapToGrid/>
        <w:spacing w:line="440" w:lineRule="exact"/>
        <w:ind w:firstLine="1120" w:firstLineChars="400"/>
        <w:jc w:val="distribute"/>
        <w:textAlignment w:val="auto"/>
        <w:rPr>
          <w:rFonts w:hint="default" w:ascii="仿宋" w:hAnsi="仿宋" w:eastAsia="仿宋" w:cs="仿宋"/>
          <w:b w:val="0"/>
          <w:bCs w:val="0"/>
          <w:sz w:val="28"/>
          <w:szCs w:val="28"/>
          <w:lang w:val="en-US"/>
        </w:rPr>
      </w:pPr>
      <w:r>
        <w:rPr>
          <w:rFonts w:hint="eastAsia" w:ascii="仿宋" w:hAnsi="仿宋" w:eastAsia="仿宋" w:cs="仿宋"/>
          <w:b w:val="0"/>
          <w:bCs w:val="0"/>
          <w:sz w:val="28"/>
          <w:szCs w:val="28"/>
        </w:rPr>
        <w:t>（</w:t>
      </w:r>
      <w:r>
        <w:rPr>
          <w:rFonts w:hint="eastAsia" w:ascii="仿宋" w:hAnsi="仿宋" w:eastAsia="仿宋" w:cs="仿宋"/>
          <w:b w:val="0"/>
          <w:bCs w:val="0"/>
          <w:sz w:val="28"/>
          <w:szCs w:val="28"/>
          <w:lang w:eastAsia="zh-CN"/>
        </w:rPr>
        <w:t>六</w:t>
      </w:r>
      <w:r>
        <w:rPr>
          <w:rFonts w:hint="eastAsia" w:ascii="仿宋" w:hAnsi="仿宋" w:eastAsia="仿宋" w:cs="仿宋"/>
          <w:b w:val="0"/>
          <w:bCs w:val="0"/>
          <w:sz w:val="28"/>
          <w:szCs w:val="28"/>
        </w:rPr>
        <w:t>）专业</w:t>
      </w:r>
      <w:r>
        <w:rPr>
          <w:rFonts w:hint="eastAsia" w:ascii="仿宋" w:hAnsi="仿宋" w:eastAsia="仿宋" w:cs="仿宋"/>
          <w:b w:val="0"/>
          <w:bCs w:val="0"/>
          <w:sz w:val="28"/>
          <w:szCs w:val="28"/>
          <w:lang w:eastAsia="zh-CN"/>
        </w:rPr>
        <w:t>名称词</w:t>
      </w:r>
      <w:r>
        <w:rPr>
          <w:rFonts w:hint="eastAsia" w:ascii="仿宋" w:hAnsi="仿宋" w:eastAsia="仿宋" w:cs="仿宋"/>
          <w:b w:val="0"/>
          <w:bCs w:val="0"/>
          <w:sz w:val="28"/>
          <w:szCs w:val="28"/>
        </w:rPr>
        <w:t>解释</w:t>
      </w:r>
      <w:r>
        <w:rPr>
          <w:rFonts w:hint="eastAsia" w:ascii="楷体" w:hAnsi="楷体" w:eastAsia="楷体" w:cs="楷体"/>
          <w:b/>
          <w:bCs/>
          <w:color w:val="000000"/>
          <w:sz w:val="32"/>
          <w:szCs w:val="32"/>
          <w:shd w:val="clear" w:color="auto" w:fill="auto"/>
          <w:lang w:eastAsia="zh-CN"/>
        </w:rPr>
        <w:t>………………………………………………………………………</w:t>
      </w:r>
      <w:r>
        <w:rPr>
          <w:rFonts w:hint="eastAsia" w:ascii="楷体" w:hAnsi="楷体" w:eastAsia="楷体" w:cs="楷体"/>
          <w:b/>
          <w:bCs/>
          <w:color w:val="000000"/>
          <w:sz w:val="32"/>
          <w:szCs w:val="32"/>
          <w:shd w:val="clear" w:color="auto" w:fill="auto"/>
          <w:lang w:val="en-US" w:eastAsia="zh-CN"/>
        </w:rPr>
        <w:t>25</w:t>
      </w:r>
    </w:p>
    <w:p>
      <w:pPr>
        <w:spacing w:line="560" w:lineRule="exact"/>
        <w:ind w:firstLine="640" w:firstLineChars="200"/>
        <w:rPr>
          <w:rFonts w:ascii="黑体" w:hAnsi="黑体" w:eastAsia="黑体"/>
          <w:sz w:val="32"/>
          <w:szCs w:val="32"/>
        </w:rPr>
      </w:pPr>
    </w:p>
    <w:p>
      <w:pPr>
        <w:spacing w:line="560" w:lineRule="exact"/>
        <w:rPr>
          <w:rFonts w:ascii="黑体" w:hAnsi="黑体" w:eastAsia="黑体"/>
          <w:sz w:val="32"/>
          <w:szCs w:val="32"/>
        </w:rPr>
      </w:pPr>
    </w:p>
    <w:p>
      <w:pPr>
        <w:spacing w:line="560" w:lineRule="exact"/>
        <w:ind w:firstLine="640" w:firstLineChars="200"/>
        <w:rPr>
          <w:rFonts w:hint="eastAsia" w:ascii="黑体" w:hAnsi="黑体" w:eastAsia="黑体"/>
          <w:sz w:val="32"/>
          <w:szCs w:val="32"/>
        </w:rPr>
        <w:sectPr>
          <w:pgSz w:w="16838" w:h="11906" w:orient="landscape"/>
          <w:pgMar w:top="1797" w:right="1440" w:bottom="1797" w:left="1440" w:header="709" w:footer="709" w:gutter="0"/>
          <w:cols w:space="0" w:num="1"/>
          <w:rtlGutter w:val="0"/>
          <w:docGrid w:type="lines" w:linePitch="361" w:charSpace="0"/>
        </w:sect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一、部门概况</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（一）部门主要职能</w:t>
      </w:r>
    </w:p>
    <w:p>
      <w:pPr>
        <w:pStyle w:val="8"/>
        <w:spacing w:line="560" w:lineRule="exact"/>
        <w:ind w:firstLine="640" w:firstLineChars="200"/>
        <w:rPr>
          <w:rFonts w:ascii="仿宋_GB2312" w:eastAsia="仿宋_GB2312"/>
          <w:sz w:val="32"/>
          <w:szCs w:val="32"/>
        </w:rPr>
      </w:pPr>
      <w:r>
        <w:rPr>
          <w:rFonts w:hint="eastAsia" w:ascii="仿宋_GB2312" w:eastAsia="仿宋_GB2312"/>
          <w:sz w:val="32"/>
          <w:szCs w:val="32"/>
        </w:rPr>
        <w:t>根据国家有关劳动就业政策，管理各类劳动力，掌握本市劳动力资源状况、供求状况及流向，为政府决策提供依据；提供职业指导、职业介绍等就业服务，发布城乡各类用人单位用工信息，指导高校毕业生就业，组织开展促进劳动力交流的各项活动；负责就业困难人员就业再就业重点帮扶和实施再就业援助工作；负责就业失业人员管理，进行就业失业登记和就业失业人员动态管理；负责促进就业优惠政策的具体落实；负责具体贯彻落实城乡劳动者职业培训政策，组织开展相关培训。推进城乡统筹就业工作，开展农村劳动力动态管理，引导农村劳动力有序流动；负责管理全市各项再就业专项资金及使用情况的监督检查；负责对全市街道（乡镇）、社区（村）人力资源社会保障工作就业服务平台的业务指导、监督检查。</w:t>
      </w:r>
    </w:p>
    <w:p>
      <w:pPr>
        <w:pStyle w:val="8"/>
        <w:spacing w:line="560" w:lineRule="exact"/>
        <w:ind w:firstLine="640" w:firstLineChars="200"/>
        <w:rPr>
          <w:rFonts w:ascii="楷体" w:hAnsi="楷体" w:eastAsia="楷体" w:cs="仿宋_GB2312"/>
          <w:sz w:val="32"/>
          <w:szCs w:val="32"/>
        </w:rPr>
      </w:pPr>
      <w:r>
        <w:rPr>
          <w:rFonts w:hint="eastAsia" w:ascii="楷体" w:hAnsi="楷体" w:eastAsia="楷体" w:cs="仿宋_GB2312"/>
          <w:sz w:val="32"/>
          <w:szCs w:val="32"/>
        </w:rPr>
        <w:t>（二）部门预算单位构成</w:t>
      </w:r>
    </w:p>
    <w:p>
      <w:pPr>
        <w:spacing w:line="560" w:lineRule="exact"/>
        <w:rPr>
          <w:rFonts w:ascii="仿宋_GB2312" w:eastAsia="仿宋_GB2312"/>
          <w:sz w:val="32"/>
          <w:szCs w:val="32"/>
        </w:rPr>
      </w:pPr>
      <w:r>
        <w:rPr>
          <w:rFonts w:hint="eastAsia" w:ascii="仿宋_GB2312" w:eastAsia="仿宋_GB2312"/>
          <w:sz w:val="32"/>
          <w:szCs w:val="32"/>
        </w:rPr>
        <w:t xml:space="preserve">    安顺市就业局为安顺市人力资源和社会保障局所属的二级副县级参公事业单位，由财政实行全额预算管理，内设综合科、统筹就业科、公共服务科、资金管理科、创业指导科5个科室。</w:t>
      </w:r>
    </w:p>
    <w:p>
      <w:pPr>
        <w:spacing w:line="560" w:lineRule="exact"/>
        <w:ind w:firstLine="640" w:firstLineChars="200"/>
        <w:rPr>
          <w:rFonts w:ascii="楷体" w:hAnsi="楷体" w:eastAsia="楷体" w:cs="仿宋_GB2312"/>
          <w:sz w:val="32"/>
          <w:szCs w:val="32"/>
        </w:rPr>
      </w:pPr>
      <w:r>
        <w:rPr>
          <w:rFonts w:hint="eastAsia" w:ascii="楷体" w:hAnsi="楷体" w:eastAsia="楷体"/>
          <w:sz w:val="32"/>
          <w:szCs w:val="32"/>
        </w:rPr>
        <w:t>（三）</w:t>
      </w:r>
      <w:r>
        <w:rPr>
          <w:rFonts w:hint="eastAsia" w:ascii="楷体" w:hAnsi="楷体" w:eastAsia="楷体" w:cs="仿宋_GB2312"/>
          <w:sz w:val="32"/>
          <w:szCs w:val="32"/>
        </w:rPr>
        <w:t>部门人员构成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就业局参公事业编制19人，其中：2个工勤编制。2020年</w:t>
      </w:r>
      <w:r>
        <w:rPr>
          <w:rFonts w:hint="eastAsia" w:ascii="仿宋_GB2312" w:eastAsia="仿宋_GB2312"/>
          <w:sz w:val="32"/>
          <w:szCs w:val="32"/>
          <w:lang w:eastAsia="zh-CN"/>
        </w:rPr>
        <w:t>末</w:t>
      </w:r>
      <w:r>
        <w:rPr>
          <w:rFonts w:hint="eastAsia" w:ascii="仿宋_GB2312" w:eastAsia="仿宋_GB2312"/>
          <w:sz w:val="32"/>
          <w:szCs w:val="32"/>
        </w:rPr>
        <w:t>在职职工人数为15人，退休人员13人。</w:t>
      </w:r>
    </w:p>
    <w:p>
      <w:pPr>
        <w:pStyle w:val="9"/>
        <w:autoSpaceDE w:val="0"/>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二、部门预算公开报表</w:t>
      </w:r>
    </w:p>
    <w:p>
      <w:pPr>
        <w:pStyle w:val="9"/>
        <w:autoSpaceDE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2021年部门预算公开共含9张报表，公开范围为本级预算。其中表8《2021年政府性基金预算支出表》、表9《2021年国有资本经营预算支出表》无相关预算收支。具体情况如下：</w:t>
      </w:r>
    </w:p>
    <w:p>
      <w:pPr>
        <w:spacing w:line="560" w:lineRule="exact"/>
        <w:ind w:firstLine="640" w:firstLineChars="200"/>
        <w:rPr>
          <w:rFonts w:hint="eastAsia" w:ascii="黑体" w:hAnsi="黑体" w:eastAsia="黑体" w:cs="黑体"/>
          <w:bCs/>
          <w:sz w:val="32"/>
          <w:szCs w:val="32"/>
        </w:rPr>
      </w:pPr>
    </w:p>
    <w:p>
      <w:pPr>
        <w:spacing w:line="560" w:lineRule="exact"/>
        <w:ind w:firstLine="640" w:firstLineChars="200"/>
        <w:rPr>
          <w:rFonts w:hint="eastAsia" w:ascii="黑体" w:hAnsi="黑体" w:eastAsia="黑体" w:cs="黑体"/>
          <w:bCs/>
          <w:sz w:val="32"/>
          <w:szCs w:val="32"/>
        </w:rPr>
      </w:pPr>
    </w:p>
    <w:p>
      <w:pPr>
        <w:spacing w:line="560" w:lineRule="exact"/>
        <w:ind w:firstLine="640" w:firstLineChars="200"/>
        <w:rPr>
          <w:rFonts w:hint="eastAsia" w:ascii="黑体" w:hAnsi="黑体" w:eastAsia="黑体" w:cs="黑体"/>
          <w:bCs/>
          <w:sz w:val="32"/>
          <w:szCs w:val="32"/>
        </w:rPr>
      </w:pPr>
    </w:p>
    <w:p>
      <w:pPr>
        <w:spacing w:line="560" w:lineRule="exact"/>
        <w:ind w:firstLine="640" w:firstLineChars="200"/>
        <w:rPr>
          <w:rFonts w:hint="eastAsia" w:ascii="黑体" w:hAnsi="黑体" w:eastAsia="黑体" w:cs="黑体"/>
          <w:bCs/>
          <w:sz w:val="32"/>
          <w:szCs w:val="32"/>
        </w:rPr>
      </w:pPr>
    </w:p>
    <w:p>
      <w:pPr>
        <w:spacing w:line="560" w:lineRule="exact"/>
        <w:ind w:firstLine="640" w:firstLineChars="200"/>
        <w:rPr>
          <w:rFonts w:hint="eastAsia" w:ascii="黑体" w:hAnsi="黑体" w:eastAsia="黑体" w:cs="黑体"/>
          <w:bCs/>
          <w:sz w:val="32"/>
          <w:szCs w:val="32"/>
        </w:rPr>
      </w:pPr>
    </w:p>
    <w:p>
      <w:pPr>
        <w:spacing w:line="560" w:lineRule="exact"/>
        <w:ind w:firstLine="640" w:firstLineChars="200"/>
        <w:rPr>
          <w:rFonts w:hint="eastAsia" w:ascii="黑体" w:hAnsi="黑体" w:eastAsia="黑体" w:cs="黑体"/>
          <w:bCs/>
          <w:sz w:val="32"/>
          <w:szCs w:val="32"/>
        </w:rPr>
      </w:pPr>
    </w:p>
    <w:p>
      <w:pPr>
        <w:spacing w:line="560" w:lineRule="exact"/>
        <w:ind w:firstLine="640" w:firstLineChars="200"/>
        <w:rPr>
          <w:rFonts w:hint="eastAsia" w:ascii="黑体" w:hAnsi="黑体" w:eastAsia="黑体" w:cs="黑体"/>
          <w:bCs/>
          <w:sz w:val="32"/>
          <w:szCs w:val="32"/>
        </w:rPr>
      </w:pPr>
    </w:p>
    <w:p>
      <w:pPr>
        <w:spacing w:line="560" w:lineRule="exact"/>
        <w:ind w:firstLine="640" w:firstLineChars="200"/>
        <w:rPr>
          <w:rFonts w:hint="eastAsia" w:ascii="黑体" w:hAnsi="黑体" w:eastAsia="黑体" w:cs="黑体"/>
          <w:bCs/>
          <w:sz w:val="32"/>
          <w:szCs w:val="32"/>
        </w:rPr>
      </w:pPr>
    </w:p>
    <w:p>
      <w:pPr>
        <w:spacing w:line="560" w:lineRule="exact"/>
        <w:ind w:firstLine="640" w:firstLineChars="200"/>
        <w:rPr>
          <w:rFonts w:hint="eastAsia" w:ascii="黑体" w:hAnsi="黑体" w:eastAsia="黑体" w:cs="黑体"/>
          <w:bCs/>
          <w:sz w:val="32"/>
          <w:szCs w:val="32"/>
        </w:rPr>
      </w:pPr>
    </w:p>
    <w:p>
      <w:pPr>
        <w:spacing w:line="240" w:lineRule="auto"/>
        <w:jc w:val="center"/>
        <w:rPr>
          <w:rFonts w:hint="eastAsia" w:ascii="黑体" w:hAnsi="黑体" w:eastAsia="黑体" w:cs="黑体"/>
          <w:bCs/>
          <w:sz w:val="32"/>
          <w:szCs w:val="32"/>
          <w:lang w:eastAsia="zh-CN"/>
        </w:rPr>
      </w:pPr>
      <w:r>
        <w:rPr>
          <w:rFonts w:hint="eastAsia" w:ascii="黑体" w:hAnsi="黑体" w:eastAsia="黑体" w:cs="黑体"/>
          <w:bCs/>
          <w:sz w:val="32"/>
          <w:szCs w:val="32"/>
          <w:lang w:eastAsia="zh-CN"/>
        </w:rPr>
        <w:drawing>
          <wp:inline distT="0" distB="0" distL="114300" distR="114300">
            <wp:extent cx="7463155" cy="5276850"/>
            <wp:effectExtent l="0" t="0" r="4445" b="0"/>
            <wp:docPr id="15" name="图片 15" descr="（市人社局）2021年部门预算及“三公”经费预算信息公开样表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市人社局）2021年部门预算及“三公”经费预算信息公开样表_页面_01"/>
                    <pic:cNvPicPr>
                      <a:picLocks noChangeAspect="1"/>
                    </pic:cNvPicPr>
                  </pic:nvPicPr>
                  <pic:blipFill>
                    <a:blip r:embed="rId5"/>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14" name="图片 14" descr="（市人社局）2021年部门预算及“三公”经费预算信息公开样表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市人社局）2021年部门预算及“三公”经费预算信息公开样表_页面_02"/>
                    <pic:cNvPicPr>
                      <a:picLocks noChangeAspect="1"/>
                    </pic:cNvPicPr>
                  </pic:nvPicPr>
                  <pic:blipFill>
                    <a:blip r:embed="rId6"/>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13" name="图片 13" descr="（市人社局）2021年部门预算及“三公”经费预算信息公开样表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市人社局）2021年部门预算及“三公”经费预算信息公开样表_页面_03"/>
                    <pic:cNvPicPr>
                      <a:picLocks noChangeAspect="1"/>
                    </pic:cNvPicPr>
                  </pic:nvPicPr>
                  <pic:blipFill>
                    <a:blip r:embed="rId7"/>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12" name="图片 12" descr="（市人社局）2021年部门预算及“三公”经费预算信息公开样表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市人社局）2021年部门预算及“三公”经费预算信息公开样表_页面_04"/>
                    <pic:cNvPicPr>
                      <a:picLocks noChangeAspect="1"/>
                    </pic:cNvPicPr>
                  </pic:nvPicPr>
                  <pic:blipFill>
                    <a:blip r:embed="rId8"/>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11" name="图片 11" descr="（市人社局）2021年部门预算及“三公”经费预算信息公开样表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市人社局）2021年部门预算及“三公”经费预算信息公开样表_页面_05"/>
                    <pic:cNvPicPr>
                      <a:picLocks noChangeAspect="1"/>
                    </pic:cNvPicPr>
                  </pic:nvPicPr>
                  <pic:blipFill>
                    <a:blip r:embed="rId9"/>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10" name="图片 10" descr="（市人社局）2021年部门预算及“三公”经费预算信息公开样表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市人社局）2021年部门预算及“三公”经费预算信息公开样表_页面_06"/>
                    <pic:cNvPicPr>
                      <a:picLocks noChangeAspect="1"/>
                    </pic:cNvPicPr>
                  </pic:nvPicPr>
                  <pic:blipFill>
                    <a:blip r:embed="rId10"/>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9" name="图片 9" descr="（市人社局）2021年部门预算及“三公”经费预算信息公开样表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市人社局）2021年部门预算及“三公”经费预算信息公开样表_页面_07"/>
                    <pic:cNvPicPr>
                      <a:picLocks noChangeAspect="1"/>
                    </pic:cNvPicPr>
                  </pic:nvPicPr>
                  <pic:blipFill>
                    <a:blip r:embed="rId11"/>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8" name="图片 8" descr="（市人社局）2021年部门预算及“三公”经费预算信息公开样表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市人社局）2021年部门预算及“三公”经费预算信息公开样表_页面_08"/>
                    <pic:cNvPicPr>
                      <a:picLocks noChangeAspect="1"/>
                    </pic:cNvPicPr>
                  </pic:nvPicPr>
                  <pic:blipFill>
                    <a:blip r:embed="rId12"/>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7" name="图片 7" descr="（市人社局）2021年部门预算及“三公”经费预算信息公开样表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市人社局）2021年部门预算及“三公”经费预算信息公开样表_页面_09"/>
                    <pic:cNvPicPr>
                      <a:picLocks noChangeAspect="1"/>
                    </pic:cNvPicPr>
                  </pic:nvPicPr>
                  <pic:blipFill>
                    <a:blip r:embed="rId13"/>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6" name="图片 6" descr="（市人社局）2021年部门预算及“三公”经费预算信息公开样表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市人社局）2021年部门预算及“三公”经费预算信息公开样表_页面_10"/>
                    <pic:cNvPicPr>
                      <a:picLocks noChangeAspect="1"/>
                    </pic:cNvPicPr>
                  </pic:nvPicPr>
                  <pic:blipFill>
                    <a:blip r:embed="rId14"/>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5" name="图片 5" descr="（市人社局）2021年部门预算及“三公”经费预算信息公开样表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市人社局）2021年部门预算及“三公”经费预算信息公开样表_页面_11"/>
                    <pic:cNvPicPr>
                      <a:picLocks noChangeAspect="1"/>
                    </pic:cNvPicPr>
                  </pic:nvPicPr>
                  <pic:blipFill>
                    <a:blip r:embed="rId15"/>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4" name="图片 4" descr="（市人社局）2021年部门预算及“三公”经费预算信息公开样表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市人社局）2021年部门预算及“三公”经费预算信息公开样表_页面_12"/>
                    <pic:cNvPicPr>
                      <a:picLocks noChangeAspect="1"/>
                    </pic:cNvPicPr>
                  </pic:nvPicPr>
                  <pic:blipFill>
                    <a:blip r:embed="rId16"/>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3" name="图片 3" descr="（市人社局）2021年部门预算及“三公”经费预算信息公开样表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市人社局）2021年部门预算及“三公”经费预算信息公开样表_页面_13"/>
                    <pic:cNvPicPr>
                      <a:picLocks noChangeAspect="1"/>
                    </pic:cNvPicPr>
                  </pic:nvPicPr>
                  <pic:blipFill>
                    <a:blip r:embed="rId17"/>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2" name="图片 2" descr="（市人社局）2021年部门预算及“三公”经费预算信息公开样表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市人社局）2021年部门预算及“三公”经费预算信息公开样表_页面_14"/>
                    <pic:cNvPicPr>
                      <a:picLocks noChangeAspect="1"/>
                    </pic:cNvPicPr>
                  </pic:nvPicPr>
                  <pic:blipFill>
                    <a:blip r:embed="rId18"/>
                    <a:stretch>
                      <a:fillRect/>
                    </a:stretch>
                  </pic:blipFill>
                  <pic:spPr>
                    <a:xfrm>
                      <a:off x="0" y="0"/>
                      <a:ext cx="7463155" cy="5276850"/>
                    </a:xfrm>
                    <a:prstGeom prst="rect">
                      <a:avLst/>
                    </a:prstGeom>
                  </pic:spPr>
                </pic:pic>
              </a:graphicData>
            </a:graphic>
          </wp:inline>
        </w:drawing>
      </w:r>
      <w:r>
        <w:rPr>
          <w:rFonts w:hint="eastAsia" w:ascii="黑体" w:hAnsi="黑体" w:eastAsia="黑体" w:cs="黑体"/>
          <w:bCs/>
          <w:sz w:val="32"/>
          <w:szCs w:val="32"/>
          <w:lang w:eastAsia="zh-CN"/>
        </w:rPr>
        <w:drawing>
          <wp:inline distT="0" distB="0" distL="114300" distR="114300">
            <wp:extent cx="7463155" cy="5276850"/>
            <wp:effectExtent l="0" t="0" r="4445" b="0"/>
            <wp:docPr id="1" name="图片 1" descr="（市人社局）2021年部门预算及“三公”经费预算信息公开样表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市人社局）2021年部门预算及“三公”经费预算信息公开样表_页面_15"/>
                    <pic:cNvPicPr>
                      <a:picLocks noChangeAspect="1"/>
                    </pic:cNvPicPr>
                  </pic:nvPicPr>
                  <pic:blipFill>
                    <a:blip r:embed="rId19"/>
                    <a:stretch>
                      <a:fillRect/>
                    </a:stretch>
                  </pic:blipFill>
                  <pic:spPr>
                    <a:xfrm>
                      <a:off x="0" y="0"/>
                      <a:ext cx="7463155" cy="5276850"/>
                    </a:xfrm>
                    <a:prstGeom prst="rect">
                      <a:avLst/>
                    </a:prstGeom>
                  </pic:spPr>
                </pic:pic>
              </a:graphicData>
            </a:graphic>
          </wp:inline>
        </w:drawing>
      </w:r>
    </w:p>
    <w:p>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三、部门预算安排说明</w:t>
      </w:r>
    </w:p>
    <w:p>
      <w:pPr>
        <w:pStyle w:val="2"/>
        <w:pageBreakBefore w:val="0"/>
        <w:kinsoku/>
        <w:wordWrap/>
        <w:overflowPunct/>
        <w:topLinePunct w:val="0"/>
        <w:autoSpaceDN/>
        <w:bidi w:val="0"/>
        <w:snapToGrid/>
        <w:spacing w:before="0" w:beforeLines="0" w:after="0" w:afterLines="0" w:line="440" w:lineRule="exact"/>
        <w:ind w:firstLine="643" w:firstLineChars="200"/>
        <w:jc w:val="both"/>
        <w:textAlignment w:val="auto"/>
        <w:rPr>
          <w:rFonts w:hint="eastAsia" w:ascii="仿宋" w:hAnsi="仿宋" w:eastAsia="仿宋" w:cs="仿宋"/>
          <w:sz w:val="32"/>
          <w:szCs w:val="32"/>
          <w:lang w:val="en-US" w:eastAsia="zh-CN"/>
        </w:rPr>
      </w:pPr>
      <w:r>
        <w:rPr>
          <w:rFonts w:hint="eastAsia" w:ascii="楷体" w:hAnsi="楷体" w:eastAsia="楷体" w:cs="楷体"/>
          <w:b/>
          <w:bCs/>
          <w:color w:val="auto"/>
          <w:kern w:val="0"/>
          <w:sz w:val="32"/>
          <w:szCs w:val="32"/>
          <w:lang w:val="en-US" w:eastAsia="zh-CN" w:bidi="ar-SA"/>
        </w:rPr>
        <w:t>（一）部门收支总表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预算收入442.85万元，其中：一般公共预算拨款404.60万元,上年结转38.25万元；预算支出442.85万元，其中：基本支出（人员支出及对个人和家庭的补助）221.42万元，项目支出221.43万元。收支与2020年比,增加27.48万元，上升6.62%。主要原因是：就业补助资金于2020年纳入一般公共预算，2020年结转34.43万元。</w:t>
      </w:r>
    </w:p>
    <w:p>
      <w:pPr>
        <w:pageBreakBefore w:val="0"/>
        <w:kinsoku/>
        <w:wordWrap/>
        <w:overflowPunct/>
        <w:topLinePunct w:val="0"/>
        <w:autoSpaceDN/>
        <w:bidi w:val="0"/>
        <w:adjustRightInd/>
        <w:snapToGrid/>
        <w:spacing w:line="520" w:lineRule="exact"/>
        <w:ind w:firstLine="643" w:firstLineChars="200"/>
        <w:jc w:val="both"/>
        <w:textAlignment w:val="auto"/>
        <w:rPr>
          <w:rFonts w:hint="eastAsia" w:ascii="仿宋" w:hAnsi="仿宋" w:eastAsia="仿宋" w:cs="仿宋"/>
          <w:b/>
          <w:sz w:val="32"/>
          <w:szCs w:val="32"/>
        </w:rPr>
      </w:pPr>
      <w:r>
        <w:rPr>
          <w:rFonts w:hint="eastAsia" w:ascii="楷体" w:hAnsi="楷体" w:eastAsia="楷体" w:cs="楷体"/>
          <w:b/>
          <w:bCs/>
          <w:color w:val="auto"/>
          <w:kern w:val="0"/>
          <w:sz w:val="32"/>
          <w:szCs w:val="32"/>
          <w:lang w:val="en-US" w:eastAsia="zh-CN" w:bidi="ar-SA"/>
        </w:rPr>
        <w:t>（二）部门收入总体情况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2021年收入总计442.85万元，其中：一般公共预算拨款404.60万元,上年结转38.25万元。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（1）一般公共预算财政拨款收入按功能科目分类，各种类型资金绝对数及占比如下：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①社会保障和就业支出290万元，占总收入的65.48%。分别为：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2080101科目（行政运行）170.30万元，占总收入的38.46%；</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2080199科目（其他人力资源和社会保障管理事务支出）17万元，占总收入的3.84%；</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2080505科目（机关事业单位基本养老保险缴费支出）15.66万元，占总收入的3.54%；</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2080799科目（其他就业补助支出）50万元，占总收入的11.29%。</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②卫生健康支出12.14万元，占总收入的2.74%，分别为：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2101101科目（行政单位医疗）11.75万元，占总收入的2.65%；</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2101199科目（其他行政事业单位医疗）0.39万元，占总收入的0.09%。</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③住房保障支出19.50万元，占总收入的4.40%。</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④农林水支出120万元，占总收入的27.10%。</w:t>
      </w:r>
    </w:p>
    <w:p>
      <w:pPr>
        <w:pageBreakBefore w:val="0"/>
        <w:kinsoku/>
        <w:wordWrap/>
        <w:overflowPunct/>
        <w:topLinePunct w:val="0"/>
        <w:autoSpaceDN/>
        <w:bidi w:val="0"/>
        <w:adjustRightInd/>
        <w:snapToGrid/>
        <w:spacing w:line="520" w:lineRule="exact"/>
        <w:ind w:firstLine="643" w:firstLineChars="200"/>
        <w:jc w:val="both"/>
        <w:textAlignment w:val="auto"/>
        <w:rPr>
          <w:rFonts w:hint="eastAsia" w:ascii="仿宋" w:hAnsi="仿宋" w:eastAsia="仿宋" w:cs="仿宋"/>
          <w:b/>
          <w:sz w:val="32"/>
          <w:szCs w:val="32"/>
        </w:rPr>
      </w:pPr>
      <w:r>
        <w:rPr>
          <w:rFonts w:hint="eastAsia" w:ascii="楷体" w:hAnsi="楷体" w:eastAsia="楷体" w:cs="楷体"/>
          <w:b/>
          <w:bCs/>
          <w:color w:val="auto"/>
          <w:kern w:val="0"/>
          <w:sz w:val="32"/>
          <w:szCs w:val="32"/>
          <w:lang w:val="en-US" w:eastAsia="zh-CN" w:bidi="ar-SA"/>
        </w:rPr>
        <w:t>（三）部门支出总体情况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（1）支出预算总体情况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2021年预算支出442.85万元。其中：2020年预算拨款支出404.60万元，上年结转支出38.25万元。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（2）按照支出功能科目分类</w:t>
      </w:r>
    </w:p>
    <w:p>
      <w:pPr>
        <w:spacing w:line="560" w:lineRule="exact"/>
        <w:ind w:left="105" w:leftChars="5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①社会保障和就业支出290万元，占总收入的65.48%。</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2080101科目支出172.91万元，比2020年减少3.56万元，原因是2020年退休1人，所以在职人员经费预算减少；</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2080199科目支出17万元，比2020年减少7.81万元，原因是该科目核算支出减少；</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2080505科目支出15.66万元，与去年相比，由于退休1人，单位人员经费预算减少，机关事业单位基本养老保险缴费减少0.58万元；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2080799科目支出50万元，预算与去年持平，用于促进农村劳动力转移就业创业的专项经费和公益性岗位资金投入。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②卫生健康支出12.14万元，占总收入的2.74%。</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2101101科目支出11.75万元，与去年比，减少0.83万元，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2101199科目支出0.39万元，与去年持平。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③住房保障支出20.71万元，占一般公共预算财政拨款收入的4.68%，由于公积金缴费基数调整，比去年增加5.83万元，均为2210201科目支出。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④农林水支出120万元，与去年持平，占总预算的27.10%。</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（3）按照基本支出和项目支出、事业经营支出分类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①基本支出221.42万元，比去年减少0.86万元，主要原因为本年退休1人，相应人员经费预算减少；</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②项目支出221.43万元，比去年增加26.62万元。主要原因是就业补助资金于2020年纳入一般公共预算。</w:t>
      </w:r>
    </w:p>
    <w:p>
      <w:pPr>
        <w:pageBreakBefore w:val="0"/>
        <w:kinsoku/>
        <w:wordWrap/>
        <w:overflowPunct/>
        <w:topLinePunct w:val="0"/>
        <w:autoSpaceDN/>
        <w:bidi w:val="0"/>
        <w:adjustRightInd/>
        <w:snapToGrid/>
        <w:spacing w:line="520" w:lineRule="exact"/>
        <w:ind w:firstLine="643" w:firstLineChars="200"/>
        <w:jc w:val="both"/>
        <w:textAlignment w:val="auto"/>
        <w:rPr>
          <w:rFonts w:hint="eastAsia" w:ascii="仿宋" w:hAnsi="仿宋" w:eastAsia="仿宋" w:cs="仿宋"/>
          <w:b/>
          <w:sz w:val="32"/>
          <w:szCs w:val="32"/>
        </w:rPr>
      </w:pPr>
      <w:r>
        <w:rPr>
          <w:rFonts w:hint="eastAsia" w:ascii="楷体" w:hAnsi="楷体" w:eastAsia="楷体" w:cs="楷体"/>
          <w:b/>
          <w:bCs/>
          <w:color w:val="auto"/>
          <w:kern w:val="0"/>
          <w:sz w:val="32"/>
          <w:szCs w:val="32"/>
          <w:lang w:val="en-US" w:eastAsia="zh-CN" w:bidi="ar-SA"/>
        </w:rPr>
        <w:t>（四）财政拨款收支总体情况</w:t>
      </w:r>
    </w:p>
    <w:p>
      <w:pPr>
        <w:spacing w:line="56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按照财政拨款收入分类，本单位 2021年财政拨款收入442.85万元，预算支出442.85万元，其中：社会保障和就业支出290万元，卫生健康支出12.14万元，住房保障支出20.71万元，农林水支出120万元。与去年比，收支均增加27.48万元，上升6.62%。主要原因是：就业补助资金于2020年纳入一般公共预算。</w:t>
      </w:r>
    </w:p>
    <w:p>
      <w:pPr>
        <w:pageBreakBefore w:val="0"/>
        <w:kinsoku/>
        <w:wordWrap/>
        <w:overflowPunct/>
        <w:topLinePunct w:val="0"/>
        <w:autoSpaceDN/>
        <w:bidi w:val="0"/>
        <w:adjustRightInd/>
        <w:snapToGrid/>
        <w:spacing w:line="520" w:lineRule="exact"/>
        <w:ind w:firstLine="643" w:firstLineChars="200"/>
        <w:jc w:val="both"/>
        <w:textAlignment w:val="auto"/>
        <w:rPr>
          <w:rFonts w:hint="eastAsia" w:ascii="仿宋" w:hAnsi="仿宋" w:eastAsia="仿宋" w:cs="仿宋"/>
          <w:b/>
          <w:sz w:val="32"/>
          <w:szCs w:val="32"/>
        </w:rPr>
      </w:pPr>
      <w:r>
        <w:rPr>
          <w:rFonts w:hint="eastAsia" w:ascii="楷体" w:hAnsi="楷体" w:eastAsia="楷体" w:cs="楷体"/>
          <w:b/>
          <w:bCs/>
          <w:color w:val="auto"/>
          <w:kern w:val="0"/>
          <w:sz w:val="32"/>
          <w:szCs w:val="32"/>
          <w:lang w:val="en-US" w:eastAsia="zh-CN" w:bidi="ar-SA"/>
        </w:rPr>
        <w:t>（五）一般公共预算支出情况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2021年一般公共预算支出442.85万元，其中：基本支出221.42万元，项目支出221.43万元。按照支出功能科目分类具体如下：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（1）社会保障和就业支出290万元，占总收入的65.48%。</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（2）卫生健康支出12.14万元，占总收入的2.74%。</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（3）住房保障支出20.71万元，占一般公共预算财政拨款收入的4.68%。</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（4）农林水支出120万元，占总预算的27.10%。</w:t>
      </w:r>
    </w:p>
    <w:p>
      <w:pPr>
        <w:pageBreakBefore w:val="0"/>
        <w:numPr>
          <w:ilvl w:val="0"/>
          <w:numId w:val="0"/>
        </w:numPr>
        <w:kinsoku/>
        <w:wordWrap/>
        <w:overflowPunct/>
        <w:topLinePunct w:val="0"/>
        <w:autoSpaceDN/>
        <w:bidi w:val="0"/>
        <w:adjustRightInd/>
        <w:snapToGrid/>
        <w:spacing w:line="520" w:lineRule="exact"/>
        <w:ind w:left="840" w:leftChars="0"/>
        <w:jc w:val="both"/>
        <w:textAlignment w:val="auto"/>
        <w:rPr>
          <w:rFonts w:hint="eastAsia" w:ascii="仿宋" w:hAnsi="仿宋" w:eastAsia="仿宋" w:cs="仿宋"/>
          <w:b/>
          <w:color w:val="000000" w:themeColor="text1"/>
          <w:sz w:val="32"/>
          <w:szCs w:val="32"/>
          <w14:textFill>
            <w14:solidFill>
              <w14:schemeClr w14:val="tx1"/>
            </w14:solidFill>
          </w14:textFill>
        </w:rPr>
      </w:pPr>
      <w:r>
        <w:rPr>
          <w:rFonts w:hint="eastAsia" w:ascii="楷体" w:hAnsi="楷体" w:eastAsia="楷体" w:cs="楷体"/>
          <w:b/>
          <w:bCs/>
          <w:color w:val="000000" w:themeColor="text1"/>
          <w:kern w:val="0"/>
          <w:sz w:val="32"/>
          <w:szCs w:val="32"/>
          <w:lang w:val="en-US" w:eastAsia="zh-CN" w:bidi="ar-SA"/>
          <w14:textFill>
            <w14:solidFill>
              <w14:schemeClr w14:val="tx1"/>
            </w14:solidFill>
          </w14:textFill>
        </w:rPr>
        <w:t>（六）一般公共预算基本支出情况</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2020年一般公共预算</w:t>
      </w:r>
      <w:r>
        <w:rPr>
          <w:rFonts w:hint="eastAsia" w:ascii="仿宋_GB2312" w:hAnsi="仿宋_GB2312" w:eastAsia="仿宋_GB2312" w:cs="仿宋_GB2312"/>
          <w:color w:val="000000" w:themeColor="text1"/>
          <w:sz w:val="32"/>
          <w:szCs w:val="32"/>
          <w:lang w:eastAsia="zh-CN"/>
          <w14:textFill>
            <w14:solidFill>
              <w14:schemeClr w14:val="tx1"/>
            </w14:solidFill>
          </w14:textFill>
        </w:rPr>
        <w:t>基本</w:t>
      </w:r>
      <w:r>
        <w:rPr>
          <w:rFonts w:hint="eastAsia" w:ascii="仿宋_GB2312" w:hAnsi="仿宋_GB2312" w:eastAsia="仿宋_GB2312" w:cs="仿宋_GB2312"/>
          <w:color w:val="000000" w:themeColor="text1"/>
          <w:sz w:val="32"/>
          <w:szCs w:val="32"/>
          <w14:textFill>
            <w14:solidFill>
              <w14:schemeClr w14:val="tx1"/>
            </w14:solidFill>
          </w14:textFill>
        </w:rPr>
        <w:t>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217.6</w:t>
      </w:r>
      <w:r>
        <w:rPr>
          <w:rFonts w:hint="eastAsia" w:ascii="仿宋_GB2312" w:hAnsi="仿宋_GB2312" w:eastAsia="仿宋_GB2312" w:cs="仿宋_GB2312"/>
          <w:color w:val="000000" w:themeColor="text1"/>
          <w:sz w:val="32"/>
          <w:szCs w:val="32"/>
          <w14:textFill>
            <w14:solidFill>
              <w14:schemeClr w14:val="tx1"/>
            </w14:solidFill>
          </w14:textFill>
        </w:rPr>
        <w:t>万元，其中：人员支出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168.94</w:t>
      </w:r>
      <w:r>
        <w:rPr>
          <w:rFonts w:hint="eastAsia" w:ascii="仿宋_GB2312" w:hAnsi="仿宋_GB2312" w:eastAsia="仿宋_GB2312" w:cs="仿宋_GB2312"/>
          <w:color w:val="000000" w:themeColor="text1"/>
          <w:sz w:val="32"/>
          <w:szCs w:val="32"/>
          <w14:textFill>
            <w14:solidFill>
              <w14:schemeClr w14:val="tx1"/>
            </w14:solidFill>
          </w14:textFill>
        </w:rPr>
        <w:t>万元，对个人和家庭的补助支出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27.66</w:t>
      </w:r>
      <w:r>
        <w:rPr>
          <w:rFonts w:hint="eastAsia" w:ascii="仿宋_GB2312" w:hAnsi="仿宋_GB2312" w:eastAsia="仿宋_GB2312" w:cs="仿宋_GB2312"/>
          <w:color w:val="000000" w:themeColor="text1"/>
          <w:sz w:val="32"/>
          <w:szCs w:val="32"/>
          <w14:textFill>
            <w14:solidFill>
              <w14:schemeClr w14:val="tx1"/>
            </w14:solidFill>
          </w14:textFill>
        </w:rPr>
        <w:t>万元，公用支出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14:textFill>
            <w14:solidFill>
              <w14:schemeClr w14:val="tx1"/>
            </w14:solidFill>
          </w14:textFill>
        </w:rPr>
        <w:t>万元。</w:t>
      </w:r>
    </w:p>
    <w:p>
      <w:pPr>
        <w:spacing w:line="560" w:lineRule="exact"/>
        <w:ind w:firstLine="643"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楷体" w:hAnsi="楷体" w:eastAsia="楷体" w:cs="楷体"/>
          <w:b/>
          <w:bCs/>
          <w:color w:val="000000" w:themeColor="text1"/>
          <w:kern w:val="0"/>
          <w:sz w:val="32"/>
          <w:szCs w:val="32"/>
          <w:lang w:val="en-US" w:eastAsia="zh-CN" w:bidi="ar-SA"/>
          <w14:textFill>
            <w14:solidFill>
              <w14:schemeClr w14:val="tx1"/>
            </w14:solidFill>
          </w14:textFill>
        </w:rPr>
        <w:t>(七）一般公共预算“三公”经费支出情况</w:t>
      </w: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一般公共预算 “三公经费”预算支出共计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万元，其中公务接待费2万元，比去年预算减少13.04%；因公出国（境）费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万元，与去年预算减少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z w:val="32"/>
          <w:szCs w:val="32"/>
          <w14:textFill>
            <w14:solidFill>
              <w14:schemeClr w14:val="tx1"/>
            </w14:solidFill>
          </w14:textFill>
        </w:rPr>
        <w:t>；无公</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务</w:t>
      </w:r>
      <w:r>
        <w:rPr>
          <w:rFonts w:hint="eastAsia" w:ascii="仿宋_GB2312" w:hAnsi="仿宋_GB2312" w:eastAsia="仿宋_GB2312" w:cs="仿宋_GB2312"/>
          <w:color w:val="000000" w:themeColor="text1"/>
          <w:sz w:val="32"/>
          <w:szCs w:val="32"/>
          <w14:textFill>
            <w14:solidFill>
              <w14:schemeClr w14:val="tx1"/>
            </w14:solidFill>
          </w14:textFill>
        </w:rPr>
        <w:t>用车购置及公务用车运行维护费。与2020年度“三公”经费总体预算数相比，下降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25.93</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firstLine="643" w:firstLineChars="200"/>
        <w:rPr>
          <w:rFonts w:hint="eastAsia" w:ascii="楷体" w:hAnsi="楷体" w:eastAsia="楷体" w:cs="楷体"/>
          <w:b/>
          <w:bCs/>
          <w:color w:val="auto"/>
          <w:kern w:val="0"/>
          <w:sz w:val="32"/>
          <w:szCs w:val="32"/>
          <w:lang w:val="en-US" w:eastAsia="zh-CN" w:bidi="ar-SA"/>
        </w:rPr>
      </w:pPr>
      <w:r>
        <w:rPr>
          <w:rFonts w:hint="eastAsia" w:ascii="楷体" w:hAnsi="楷体" w:eastAsia="楷体" w:cs="楷体"/>
          <w:b/>
          <w:bCs/>
          <w:color w:val="auto"/>
          <w:kern w:val="0"/>
          <w:sz w:val="32"/>
          <w:szCs w:val="32"/>
          <w:lang w:val="en-US" w:eastAsia="zh-CN" w:bidi="ar-SA"/>
        </w:rPr>
        <w:t>（八）政府性基金预算支出情况</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本单位今年无政府性基金预算。</w:t>
      </w:r>
    </w:p>
    <w:p>
      <w:pPr>
        <w:pageBreakBefore w:val="0"/>
        <w:numPr>
          <w:ilvl w:val="0"/>
          <w:numId w:val="0"/>
        </w:numPr>
        <w:kinsoku/>
        <w:wordWrap/>
        <w:overflowPunct/>
        <w:topLinePunct w:val="0"/>
        <w:autoSpaceDN/>
        <w:bidi w:val="0"/>
        <w:adjustRightInd/>
        <w:snapToGrid/>
        <w:spacing w:line="520" w:lineRule="exact"/>
        <w:ind w:firstLine="643" w:firstLineChars="200"/>
        <w:jc w:val="both"/>
        <w:textAlignment w:val="auto"/>
        <w:rPr>
          <w:rFonts w:hint="eastAsia" w:ascii="楷体" w:hAnsi="楷体" w:eastAsia="楷体" w:cs="楷体"/>
          <w:b/>
          <w:bCs/>
          <w:color w:val="auto"/>
          <w:kern w:val="0"/>
          <w:sz w:val="32"/>
          <w:szCs w:val="32"/>
          <w:lang w:val="en-US" w:eastAsia="zh-CN" w:bidi="ar-SA"/>
        </w:rPr>
      </w:pPr>
      <w:r>
        <w:rPr>
          <w:rFonts w:hint="eastAsia" w:ascii="楷体" w:hAnsi="楷体" w:eastAsia="楷体" w:cs="楷体"/>
          <w:b/>
          <w:bCs/>
          <w:color w:val="auto"/>
          <w:kern w:val="0"/>
          <w:sz w:val="32"/>
          <w:szCs w:val="32"/>
          <w:lang w:val="en-US" w:eastAsia="zh-CN" w:bidi="ar-SA"/>
        </w:rPr>
        <w:t>（九）国有资本经营预算支出情况</w:t>
      </w:r>
      <w:bookmarkStart w:id="0" w:name="_GoBack"/>
      <w:bookmarkEnd w:id="0"/>
    </w:p>
    <w:p>
      <w:pPr>
        <w:pageBreakBefore w:val="0"/>
        <w:numPr>
          <w:ilvl w:val="0"/>
          <w:numId w:val="0"/>
        </w:numPr>
        <w:kinsoku/>
        <w:wordWrap/>
        <w:overflowPunct/>
        <w:topLinePunct w:val="0"/>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本单位今年</w:t>
      </w:r>
      <w:r>
        <w:rPr>
          <w:rFonts w:hint="eastAsia" w:ascii="仿宋" w:hAnsi="仿宋" w:eastAsia="仿宋" w:cs="仿宋"/>
          <w:b w:val="0"/>
          <w:bCs/>
          <w:sz w:val="32"/>
          <w:szCs w:val="32"/>
          <w:lang w:val="en-US" w:eastAsia="zh-CN"/>
        </w:rPr>
        <w:t>无该项支出。</w:t>
      </w:r>
    </w:p>
    <w:p>
      <w:pPr>
        <w:autoSpaceDE w:val="0"/>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四、其他重要事项说明</w:t>
      </w:r>
    </w:p>
    <w:p>
      <w:pPr>
        <w:pageBreakBefore w:val="0"/>
        <w:kinsoku/>
        <w:wordWrap/>
        <w:overflowPunct/>
        <w:topLinePunct w:val="0"/>
        <w:autoSpaceDN/>
        <w:bidi w:val="0"/>
        <w:adjustRightInd/>
        <w:snapToGrid/>
        <w:spacing w:line="520" w:lineRule="exact"/>
        <w:ind w:firstLine="643" w:firstLineChars="200"/>
        <w:jc w:val="both"/>
        <w:textAlignment w:val="auto"/>
        <w:rPr>
          <w:rFonts w:hint="eastAsia" w:ascii="仿宋" w:hAnsi="仿宋" w:eastAsia="仿宋" w:cs="仿宋"/>
          <w:b/>
          <w:bCs/>
          <w:sz w:val="32"/>
          <w:szCs w:val="32"/>
        </w:rPr>
      </w:pPr>
      <w:r>
        <w:rPr>
          <w:rFonts w:hint="eastAsia" w:ascii="楷体" w:hAnsi="楷体" w:eastAsia="楷体" w:cs="楷体"/>
          <w:b/>
          <w:bCs/>
          <w:color w:val="auto"/>
          <w:kern w:val="0"/>
          <w:sz w:val="32"/>
          <w:szCs w:val="32"/>
          <w:lang w:val="en-US" w:eastAsia="zh-CN" w:bidi="ar-SA"/>
        </w:rPr>
        <w:t>（一）机关运行经费安排情况说明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预算收入442.85万元，其中：一般公共预算拨款404.60万元,上年结转38.25万元；预算支出442.85万元，其中：基本支出（人员支出及对个人和家庭的补助）221.42万元，项目支出221.43万元。收支与2020年比,增加27.48万元，上升6.62%。主要原因是：就业补助资金于2020年纳入一般公共预算，2020年结转34.43万元。</w:t>
      </w:r>
    </w:p>
    <w:p>
      <w:pPr>
        <w:pStyle w:val="2"/>
        <w:pageBreakBefore w:val="0"/>
        <w:numPr>
          <w:ilvl w:val="0"/>
          <w:numId w:val="0"/>
        </w:numPr>
        <w:kinsoku/>
        <w:wordWrap/>
        <w:overflowPunct/>
        <w:topLinePunct w:val="0"/>
        <w:autoSpaceDN/>
        <w:bidi w:val="0"/>
        <w:adjustRightInd/>
        <w:snapToGrid/>
        <w:spacing w:before="0" w:beforeLines="0" w:after="0" w:afterLines="0" w:line="520" w:lineRule="exact"/>
        <w:ind w:firstLine="643" w:firstLineChars="200"/>
        <w:jc w:val="both"/>
        <w:textAlignment w:val="auto"/>
        <w:rPr>
          <w:rFonts w:hint="eastAsia" w:ascii="楷体" w:hAnsi="楷体" w:eastAsia="楷体" w:cs="楷体"/>
          <w:b/>
          <w:bCs/>
          <w:color w:val="auto"/>
          <w:kern w:val="0"/>
          <w:sz w:val="32"/>
          <w:szCs w:val="32"/>
          <w:lang w:val="en-US" w:eastAsia="zh-CN" w:bidi="ar-SA"/>
        </w:rPr>
      </w:pPr>
      <w:r>
        <w:rPr>
          <w:rFonts w:hint="eastAsia" w:ascii="楷体" w:hAnsi="楷体" w:eastAsia="楷体" w:cs="楷体"/>
          <w:b/>
          <w:bCs/>
          <w:color w:val="auto"/>
          <w:kern w:val="0"/>
          <w:sz w:val="32"/>
          <w:szCs w:val="32"/>
          <w:lang w:val="en-US" w:eastAsia="zh-CN" w:bidi="ar-SA"/>
        </w:rPr>
        <w:t>（二）政府采购情况说明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本单位2021年无政府采购预算计划。</w:t>
      </w:r>
    </w:p>
    <w:p>
      <w:pPr>
        <w:pageBreakBefore w:val="0"/>
        <w:kinsoku/>
        <w:wordWrap/>
        <w:overflowPunct/>
        <w:topLinePunct w:val="0"/>
        <w:autoSpaceDN/>
        <w:bidi w:val="0"/>
        <w:adjustRightInd/>
        <w:snapToGrid/>
        <w:spacing w:line="520" w:lineRule="exact"/>
        <w:ind w:firstLine="643" w:firstLineChars="200"/>
        <w:jc w:val="both"/>
        <w:textAlignment w:val="auto"/>
        <w:rPr>
          <w:rFonts w:hint="eastAsia" w:ascii="仿宋" w:hAnsi="仿宋" w:eastAsia="仿宋" w:cs="仿宋"/>
          <w:b/>
          <w:bCs/>
          <w:sz w:val="32"/>
          <w:szCs w:val="32"/>
        </w:rPr>
      </w:pPr>
      <w:r>
        <w:rPr>
          <w:rFonts w:hint="eastAsia" w:ascii="楷体" w:hAnsi="楷体" w:eastAsia="楷体" w:cs="楷体"/>
          <w:b/>
          <w:bCs/>
          <w:color w:val="auto"/>
          <w:kern w:val="0"/>
          <w:sz w:val="32"/>
          <w:szCs w:val="32"/>
          <w:lang w:val="en-US" w:eastAsia="zh-CN" w:bidi="ar-SA"/>
        </w:rPr>
        <w:t>（三）国有资产占有使用情况说明</w:t>
      </w:r>
    </w:p>
    <w:p>
      <w:pPr>
        <w:autoSpaceDE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本单位年初固定资产总值306846元，累计折旧227306.89元，账面价值79539.11元，其中：车辆196347元，其他固定资产110499元。</w:t>
      </w:r>
    </w:p>
    <w:p>
      <w:pPr>
        <w:pageBreakBefore w:val="0"/>
        <w:kinsoku/>
        <w:wordWrap/>
        <w:overflowPunct/>
        <w:topLinePunct w:val="0"/>
        <w:autoSpaceDN/>
        <w:bidi w:val="0"/>
        <w:adjustRightInd/>
        <w:snapToGrid/>
        <w:spacing w:line="520" w:lineRule="exact"/>
        <w:ind w:firstLine="643" w:firstLineChars="200"/>
        <w:jc w:val="both"/>
        <w:textAlignment w:val="auto"/>
        <w:rPr>
          <w:rFonts w:hint="eastAsia" w:ascii="仿宋" w:hAnsi="仿宋" w:eastAsia="仿宋" w:cs="仿宋"/>
          <w:b/>
          <w:bCs/>
          <w:sz w:val="32"/>
          <w:szCs w:val="32"/>
          <w:lang w:eastAsia="zh-CN"/>
        </w:rPr>
      </w:pPr>
      <w:r>
        <w:rPr>
          <w:rFonts w:hint="eastAsia" w:ascii="楷体" w:hAnsi="楷体" w:eastAsia="楷体" w:cs="楷体"/>
          <w:b/>
          <w:bCs/>
          <w:color w:val="auto"/>
          <w:kern w:val="0"/>
          <w:sz w:val="32"/>
          <w:szCs w:val="32"/>
          <w:lang w:val="en-US" w:eastAsia="zh-CN" w:bidi="ar-SA"/>
        </w:rPr>
        <w:t>（四）预算绩效管理情况说明</w:t>
      </w:r>
    </w:p>
    <w:p>
      <w:pPr>
        <w:pageBreakBefore w:val="0"/>
        <w:kinsoku/>
        <w:wordWrap/>
        <w:overflowPunct/>
        <w:topLinePunct w:val="0"/>
        <w:autoSpaceDN/>
        <w:bidi w:val="0"/>
        <w:adjustRightInd/>
        <w:snapToGrid/>
        <w:spacing w:line="520" w:lineRule="exact"/>
        <w:ind w:firstLine="640" w:firstLineChars="200"/>
        <w:jc w:val="both"/>
        <w:textAlignment w:val="auto"/>
        <w:rPr>
          <w:rFonts w:hint="eastAsia" w:ascii="仿宋" w:hAnsi="仿宋" w:eastAsia="仿宋" w:cs="仿宋"/>
          <w:sz w:val="32"/>
          <w:szCs w:val="32"/>
          <w:lang w:eastAsia="zh-CN"/>
        </w:rPr>
      </w:pPr>
      <w:r>
        <w:rPr>
          <w:rFonts w:hint="eastAsia" w:ascii="仿宋_GB2312" w:hAnsi="仿宋_GB2312" w:eastAsia="仿宋_GB2312" w:cs="仿宋_GB2312"/>
          <w:sz w:val="32"/>
          <w:szCs w:val="32"/>
        </w:rPr>
        <w:t>本单位2021年涉及</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项项目预算支出</w:t>
      </w:r>
      <w:r>
        <w:rPr>
          <w:rFonts w:hint="eastAsia" w:ascii="仿宋_GB2312" w:hAnsi="仿宋_GB2312" w:eastAsia="仿宋_GB2312" w:cs="仿宋_GB2312"/>
          <w:sz w:val="32"/>
          <w:szCs w:val="32"/>
          <w:lang w:eastAsia="zh-CN"/>
        </w:rPr>
        <w:t>，</w:t>
      </w:r>
      <w:r>
        <w:rPr>
          <w:rFonts w:hint="eastAsia" w:ascii="仿宋" w:hAnsi="仿宋" w:eastAsia="仿宋" w:cs="仿宋"/>
          <w:sz w:val="32"/>
          <w:szCs w:val="32"/>
          <w:lang w:val="en-US" w:eastAsia="zh-CN"/>
        </w:rPr>
        <w:t>所有项目均纳入预算绩效管理</w:t>
      </w:r>
      <w:r>
        <w:rPr>
          <w:rFonts w:hint="eastAsia" w:ascii="仿宋_GB2312" w:hAnsi="仿宋_GB2312" w:eastAsia="仿宋_GB2312" w:cs="仿宋_GB2312"/>
          <w:sz w:val="32"/>
          <w:szCs w:val="32"/>
        </w:rPr>
        <w:t>。</w:t>
      </w:r>
      <w:r>
        <w:rPr>
          <w:rFonts w:hint="eastAsia" w:ascii="仿宋" w:hAnsi="仿宋" w:eastAsia="仿宋" w:cs="仿宋"/>
          <w:sz w:val="32"/>
          <w:szCs w:val="32"/>
        </w:rPr>
        <w:t>涉及财政拨款预算</w:t>
      </w:r>
      <w:r>
        <w:rPr>
          <w:rFonts w:hint="eastAsia" w:ascii="仿宋" w:hAnsi="仿宋" w:eastAsia="仿宋" w:cs="仿宋"/>
          <w:sz w:val="32"/>
          <w:szCs w:val="32"/>
          <w:lang w:val="en-US" w:eastAsia="zh-CN"/>
        </w:rPr>
        <w:t>187</w:t>
      </w:r>
      <w:r>
        <w:rPr>
          <w:rFonts w:hint="eastAsia" w:ascii="仿宋" w:hAnsi="仿宋" w:eastAsia="仿宋" w:cs="仿宋"/>
          <w:sz w:val="32"/>
          <w:szCs w:val="32"/>
        </w:rPr>
        <w:t>万元</w:t>
      </w:r>
      <w:r>
        <w:rPr>
          <w:rFonts w:hint="eastAsia" w:ascii="仿宋" w:hAnsi="仿宋" w:eastAsia="仿宋" w:cs="仿宋"/>
          <w:sz w:val="32"/>
          <w:szCs w:val="32"/>
          <w:lang w:eastAsia="zh-CN"/>
        </w:rPr>
        <w:t>，现选定《</w:t>
      </w:r>
      <w:r>
        <w:rPr>
          <w:rFonts w:hint="eastAsia" w:ascii="仿宋" w:hAnsi="仿宋" w:eastAsia="仿宋" w:cs="仿宋"/>
          <w:sz w:val="32"/>
          <w:szCs w:val="32"/>
        </w:rPr>
        <w:t>就业创业工作经费）</w:t>
      </w:r>
      <w:r>
        <w:rPr>
          <w:rFonts w:hint="eastAsia" w:ascii="仿宋" w:hAnsi="仿宋" w:eastAsia="仿宋" w:cs="仿宋"/>
          <w:sz w:val="32"/>
          <w:szCs w:val="32"/>
          <w:lang w:eastAsia="zh-CN"/>
        </w:rPr>
        <w:t>》项目公开如下：</w:t>
      </w:r>
    </w:p>
    <w:tbl>
      <w:tblPr>
        <w:tblStyle w:val="6"/>
        <w:tblW w:w="13920" w:type="dxa"/>
        <w:tblInd w:w="93" w:type="dxa"/>
        <w:shd w:val="clear" w:color="auto" w:fill="auto"/>
        <w:tblLayout w:type="autofit"/>
        <w:tblCellMar>
          <w:top w:w="0" w:type="dxa"/>
          <w:left w:w="108" w:type="dxa"/>
          <w:bottom w:w="0" w:type="dxa"/>
          <w:right w:w="108" w:type="dxa"/>
        </w:tblCellMar>
      </w:tblPr>
      <w:tblGrid>
        <w:gridCol w:w="525"/>
        <w:gridCol w:w="2051"/>
        <w:gridCol w:w="1346"/>
        <w:gridCol w:w="1378"/>
        <w:gridCol w:w="2593"/>
        <w:gridCol w:w="1674"/>
        <w:gridCol w:w="1378"/>
        <w:gridCol w:w="1263"/>
        <w:gridCol w:w="1712"/>
      </w:tblGrid>
      <w:tr>
        <w:tblPrEx>
          <w:tblCellMar>
            <w:top w:w="0" w:type="dxa"/>
            <w:left w:w="108" w:type="dxa"/>
            <w:bottom w:w="0" w:type="dxa"/>
            <w:right w:w="108" w:type="dxa"/>
          </w:tblCellMar>
        </w:tblPrEx>
        <w:trPr>
          <w:trHeight w:val="532" w:hRule="atLeast"/>
        </w:trPr>
        <w:tc>
          <w:tcPr>
            <w:tcW w:w="13920" w:type="dxa"/>
            <w:gridSpan w:val="9"/>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default" w:ascii="方正小标宋简体" w:hAnsi="方正小标宋简体" w:eastAsia="方正小标宋简体" w:cs="方正小标宋简体"/>
                <w:i w:val="0"/>
                <w:iCs w:val="0"/>
                <w:color w:val="000000"/>
                <w:kern w:val="0"/>
                <w:sz w:val="36"/>
                <w:szCs w:val="36"/>
                <w:u w:val="none"/>
                <w:lang w:val="en-US" w:eastAsia="zh-CN" w:bidi="ar"/>
              </w:rPr>
              <w:t>项目支出绩效目标表</w:t>
            </w:r>
          </w:p>
        </w:tc>
      </w:tr>
      <w:tr>
        <w:tblPrEx>
          <w:tblCellMar>
            <w:top w:w="0" w:type="dxa"/>
            <w:left w:w="108" w:type="dxa"/>
            <w:bottom w:w="0" w:type="dxa"/>
            <w:right w:w="108" w:type="dxa"/>
          </w:tblCellMar>
        </w:tblPrEx>
        <w:trPr>
          <w:trHeight w:val="614" w:hRule="atLeast"/>
        </w:trPr>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（2021年度）</w:t>
            </w: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296" w:hRule="atLeast"/>
        </w:trPr>
        <w:tc>
          <w:tcPr>
            <w:tcW w:w="0" w:type="auto"/>
            <w:gridSpan w:val="2"/>
            <w:tcBorders>
              <w:top w:val="nil"/>
              <w:left w:val="nil"/>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填报单位（盖章）：</w:t>
            </w: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填报日期：</w:t>
            </w: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pPr>
              <w:rPr>
                <w:rFonts w:hint="eastAsia" w:ascii="宋体" w:hAnsi="宋体" w:eastAsia="宋体" w:cs="宋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267" w:hRule="atLeast"/>
        </w:trPr>
        <w:tc>
          <w:tcPr>
            <w:tcW w:w="257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34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就业创业工作经费</w:t>
            </w:r>
          </w:p>
        </w:tc>
      </w:tr>
      <w:tr>
        <w:tblPrEx>
          <w:tblCellMar>
            <w:top w:w="0" w:type="dxa"/>
            <w:left w:w="108" w:type="dxa"/>
            <w:bottom w:w="0" w:type="dxa"/>
            <w:right w:w="108" w:type="dxa"/>
          </w:tblCellMar>
        </w:tblPrEx>
        <w:trPr>
          <w:trHeight w:val="267" w:hRule="atLeast"/>
        </w:trPr>
        <w:tc>
          <w:tcPr>
            <w:tcW w:w="257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主管部门代码及名称</w:t>
            </w:r>
          </w:p>
        </w:tc>
        <w:tc>
          <w:tcPr>
            <w:tcW w:w="531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[XXX]YYYYY部门</w:t>
            </w:r>
          </w:p>
        </w:tc>
        <w:tc>
          <w:tcPr>
            <w:tcW w:w="16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实施部门</w:t>
            </w:r>
          </w:p>
        </w:tc>
        <w:tc>
          <w:tcPr>
            <w:tcW w:w="435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市人力资源和社会保障局</w:t>
            </w:r>
          </w:p>
        </w:tc>
      </w:tr>
      <w:tr>
        <w:tblPrEx>
          <w:tblCellMar>
            <w:top w:w="0" w:type="dxa"/>
            <w:left w:w="108" w:type="dxa"/>
            <w:bottom w:w="0" w:type="dxa"/>
            <w:right w:w="108" w:type="dxa"/>
          </w:tblCellMar>
        </w:tblPrEx>
        <w:trPr>
          <w:trHeight w:val="381" w:hRule="atLeast"/>
        </w:trPr>
        <w:tc>
          <w:tcPr>
            <w:tcW w:w="257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资金来源</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中长期资金情况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年度资金情况</w:t>
            </w:r>
          </w:p>
        </w:tc>
      </w:tr>
      <w:tr>
        <w:tblPrEx>
          <w:shd w:val="clear" w:color="auto" w:fill="auto"/>
          <w:tblCellMar>
            <w:top w:w="0" w:type="dxa"/>
            <w:left w:w="108" w:type="dxa"/>
            <w:bottom w:w="0" w:type="dxa"/>
            <w:right w:w="108" w:type="dxa"/>
          </w:tblCellMar>
        </w:tblPrEx>
        <w:trPr>
          <w:trHeight w:val="267" w:hRule="atLeast"/>
        </w:trPr>
        <w:tc>
          <w:tcPr>
            <w:tcW w:w="257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资金总额(万元)：</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602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tblPrEx>
          <w:shd w:val="clear" w:color="auto" w:fill="auto"/>
          <w:tblCellMar>
            <w:top w:w="0" w:type="dxa"/>
            <w:left w:w="108" w:type="dxa"/>
            <w:bottom w:w="0" w:type="dxa"/>
            <w:right w:w="108" w:type="dxa"/>
          </w:tblCellMar>
        </w:tblPrEx>
        <w:trPr>
          <w:trHeight w:val="267" w:hRule="atLeast"/>
        </w:trPr>
        <w:tc>
          <w:tcPr>
            <w:tcW w:w="257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财政拨款</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tblPrEx>
          <w:shd w:val="clear" w:color="auto" w:fill="auto"/>
          <w:tblCellMar>
            <w:top w:w="0" w:type="dxa"/>
            <w:left w:w="108" w:type="dxa"/>
            <w:bottom w:w="0" w:type="dxa"/>
            <w:right w:w="108" w:type="dxa"/>
          </w:tblCellMar>
        </w:tblPrEx>
        <w:trPr>
          <w:trHeight w:val="267" w:hRule="atLeast"/>
        </w:trPr>
        <w:tc>
          <w:tcPr>
            <w:tcW w:w="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w:t>
            </w:r>
          </w:p>
        </w:tc>
        <w:tc>
          <w:tcPr>
            <w:tcW w:w="2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其中：上级补助</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u w:val="none"/>
              </w:rPr>
            </w:pPr>
          </w:p>
        </w:tc>
      </w:tr>
      <w:tr>
        <w:tblPrEx>
          <w:shd w:val="clear" w:color="auto" w:fill="auto"/>
          <w:tblCellMar>
            <w:top w:w="0" w:type="dxa"/>
            <w:left w:w="108" w:type="dxa"/>
            <w:bottom w:w="0" w:type="dxa"/>
            <w:right w:w="108" w:type="dxa"/>
          </w:tblCellMar>
        </w:tblPrEx>
        <w:trPr>
          <w:trHeight w:val="267" w:hRule="atLeast"/>
        </w:trPr>
        <w:tc>
          <w:tcPr>
            <w:tcW w:w="257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本级安排</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602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tblPrEx>
          <w:tblCellMar>
            <w:top w:w="0" w:type="dxa"/>
            <w:left w:w="108" w:type="dxa"/>
            <w:bottom w:w="0" w:type="dxa"/>
            <w:right w:w="108" w:type="dxa"/>
          </w:tblCellMar>
        </w:tblPrEx>
        <w:trPr>
          <w:trHeight w:val="267" w:hRule="atLeast"/>
        </w:trPr>
        <w:tc>
          <w:tcPr>
            <w:tcW w:w="257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其他资金</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602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u w:val="none"/>
              </w:rPr>
            </w:pPr>
          </w:p>
        </w:tc>
      </w:tr>
      <w:tr>
        <w:tblPrEx>
          <w:tblCellMar>
            <w:top w:w="0" w:type="dxa"/>
            <w:left w:w="108" w:type="dxa"/>
            <w:bottom w:w="0" w:type="dxa"/>
            <w:right w:w="108" w:type="dxa"/>
          </w:tblCellMar>
        </w:tblPrEx>
        <w:trPr>
          <w:trHeight w:val="257" w:hRule="atLeast"/>
        </w:trPr>
        <w:tc>
          <w:tcPr>
            <w:tcW w:w="2576"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总体目标</w:t>
            </w:r>
          </w:p>
        </w:tc>
        <w:tc>
          <w:tcPr>
            <w:tcW w:w="531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中长期目标（20××年—20××年）</w:t>
            </w:r>
          </w:p>
        </w:tc>
        <w:tc>
          <w:tcPr>
            <w:tcW w:w="602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年度目标</w:t>
            </w:r>
          </w:p>
        </w:tc>
      </w:tr>
      <w:tr>
        <w:tblPrEx>
          <w:shd w:val="clear" w:color="auto" w:fill="auto"/>
          <w:tblCellMar>
            <w:top w:w="0" w:type="dxa"/>
            <w:left w:w="108" w:type="dxa"/>
            <w:bottom w:w="0" w:type="dxa"/>
            <w:right w:w="108" w:type="dxa"/>
          </w:tblCellMar>
        </w:tblPrEx>
        <w:trPr>
          <w:trHeight w:val="997" w:hRule="atLeast"/>
        </w:trPr>
        <w:tc>
          <w:tcPr>
            <w:tcW w:w="257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5317" w:type="dxa"/>
            <w:gridSpan w:val="3"/>
            <w:tcBorders>
              <w:top w:val="single" w:color="000000" w:sz="4" w:space="0"/>
              <w:left w:val="single" w:color="000000" w:sz="4" w:space="0"/>
              <w:bottom w:val="single" w:color="000000" w:sz="4" w:space="0"/>
              <w:right w:val="single" w:color="000000" w:sz="4" w:space="0"/>
            </w:tcBorders>
            <w:shd w:val="clear" w:color="auto" w:fill="FFFFFF"/>
            <w:vAlign w:val="top"/>
          </w:tcPr>
          <w:p>
            <w:pPr>
              <w:jc w:val="left"/>
              <w:rPr>
                <w:rFonts w:hint="eastAsia" w:ascii="宋体" w:hAnsi="宋体" w:eastAsia="宋体" w:cs="宋体"/>
                <w:i w:val="0"/>
                <w:iCs w:val="0"/>
                <w:color w:val="000000"/>
                <w:sz w:val="20"/>
                <w:szCs w:val="20"/>
                <w:u w:val="none"/>
              </w:rPr>
            </w:pPr>
          </w:p>
        </w:tc>
        <w:tc>
          <w:tcPr>
            <w:tcW w:w="6027" w:type="dxa"/>
            <w:gridSpan w:val="4"/>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目标1：2021年促进农村劳动力转移就业64200人以上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目标2：2021年城镇新增就业38500人以上</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目标3：2021年城镇登记失业率控制在5.5%以内</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w:t>
            </w:r>
          </w:p>
        </w:tc>
      </w:tr>
      <w:tr>
        <w:tblPrEx>
          <w:tblCellMar>
            <w:top w:w="0" w:type="dxa"/>
            <w:left w:w="108" w:type="dxa"/>
            <w:bottom w:w="0" w:type="dxa"/>
            <w:right w:w="108" w:type="dxa"/>
          </w:tblCellMar>
        </w:tblPrEx>
        <w:trPr>
          <w:trHeight w:val="257" w:hRule="atLeast"/>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          效                指                 标</w:t>
            </w:r>
          </w:p>
        </w:tc>
        <w:tc>
          <w:tcPr>
            <w:tcW w:w="2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3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2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w:t>
            </w:r>
          </w:p>
        </w:tc>
        <w:tc>
          <w:tcPr>
            <w:tcW w:w="16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w:t>
            </w:r>
          </w:p>
        </w:tc>
      </w:tr>
      <w:tr>
        <w:tblPrEx>
          <w:tblCellMar>
            <w:top w:w="0" w:type="dxa"/>
            <w:left w:w="108" w:type="dxa"/>
            <w:bottom w:w="0" w:type="dxa"/>
            <w:right w:w="108" w:type="dxa"/>
          </w:tblCellMar>
        </w:tblPrEx>
        <w:trPr>
          <w:trHeight w:val="1491"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2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16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2021年期间，全市农村劳动力转移就业64200人以上</w:t>
            </w: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≥64200</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b/>
                <w:bCs/>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997"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2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16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2021年，全市全年促进城镇新增就业38500人以上</w:t>
            </w: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≥38500</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b/>
                <w:bCs/>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750"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2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16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年度登记失业率控制在5.5%以内</w:t>
            </w: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b/>
                <w:bCs/>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503"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时效1 </w:t>
            </w:r>
          </w:p>
        </w:tc>
        <w:tc>
          <w:tcPr>
            <w:tcW w:w="2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资金到账时间</w:t>
            </w: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2021年</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b/>
                <w:bCs/>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750"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0"/>
                <w:szCs w:val="20"/>
                <w:u w:val="none"/>
              </w:rPr>
            </w:pPr>
          </w:p>
        </w:tc>
        <w:tc>
          <w:tcPr>
            <w:tcW w:w="13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成本1</w:t>
            </w:r>
          </w:p>
        </w:tc>
        <w:tc>
          <w:tcPr>
            <w:tcW w:w="2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就业创业工作开展经费保障</w:t>
            </w: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≤10万元</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750"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w:t>
            </w:r>
          </w:p>
        </w:tc>
        <w:tc>
          <w:tcPr>
            <w:tcW w:w="13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社会效益1</w:t>
            </w:r>
          </w:p>
        </w:tc>
        <w:tc>
          <w:tcPr>
            <w:tcW w:w="2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促进地方劳动力实现就业创业</w:t>
            </w: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稳定和扩大就业</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760" w:hRule="atLeast"/>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0"/>
                <w:szCs w:val="20"/>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w:t>
            </w:r>
          </w:p>
        </w:tc>
        <w:tc>
          <w:tcPr>
            <w:tcW w:w="13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    满意度</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       满意度1</w:t>
            </w:r>
          </w:p>
        </w:tc>
        <w:tc>
          <w:tcPr>
            <w:tcW w:w="25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       满意度</w:t>
            </w:r>
          </w:p>
        </w:tc>
        <w:tc>
          <w:tcPr>
            <w:tcW w:w="13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就业创业补贴享受群众满意度</w:t>
            </w: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7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0"/>
                <w:szCs w:val="20"/>
                <w:u w:val="none"/>
              </w:rPr>
            </w:pPr>
          </w:p>
        </w:tc>
      </w:tr>
    </w:tbl>
    <w:p>
      <w:pPr>
        <w:pageBreakBefore w:val="0"/>
        <w:kinsoku/>
        <w:wordWrap/>
        <w:overflowPunct/>
        <w:topLinePunct w:val="0"/>
        <w:autoSpaceDN/>
        <w:bidi w:val="0"/>
        <w:adjustRightInd/>
        <w:snapToGrid/>
        <w:spacing w:line="520" w:lineRule="exact"/>
        <w:ind w:firstLine="643" w:firstLineChars="200"/>
        <w:jc w:val="both"/>
        <w:textAlignment w:val="auto"/>
        <w:rPr>
          <w:rFonts w:hint="eastAsia" w:ascii="楷体" w:hAnsi="楷体" w:eastAsia="楷体" w:cs="楷体"/>
          <w:b/>
          <w:bCs/>
          <w:color w:val="auto"/>
          <w:kern w:val="0"/>
          <w:sz w:val="32"/>
          <w:szCs w:val="32"/>
          <w:lang w:val="en-US" w:eastAsia="zh-CN" w:bidi="ar-SA"/>
        </w:rPr>
      </w:pPr>
      <w:r>
        <w:rPr>
          <w:rFonts w:hint="eastAsia" w:ascii="楷体" w:hAnsi="楷体" w:eastAsia="楷体" w:cs="楷体"/>
          <w:b/>
          <w:bCs/>
          <w:color w:val="auto"/>
          <w:kern w:val="0"/>
          <w:sz w:val="32"/>
          <w:szCs w:val="32"/>
          <w:lang w:val="en-US" w:eastAsia="zh-CN" w:bidi="ar-SA"/>
        </w:rPr>
        <w:t>（五）项目支出安排情况说明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本单位2020年项目共计187万元（不含上年结转和结余），其中：</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（1）社会保障和就业支出67万元。其中：其他人力资源和社会保障管理事务支出17万元，其他就业补助支出50万元。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（2）农林水支出120万元。主要为创业担保贷款贴息120万元。</w:t>
      </w:r>
    </w:p>
    <w:p>
      <w:pPr>
        <w:pageBreakBefore w:val="0"/>
        <w:numPr>
          <w:ilvl w:val="0"/>
          <w:numId w:val="0"/>
        </w:numPr>
        <w:kinsoku/>
        <w:wordWrap/>
        <w:overflowPunct/>
        <w:topLinePunct w:val="0"/>
        <w:autoSpaceDN/>
        <w:bidi w:val="0"/>
        <w:adjustRightInd/>
        <w:snapToGrid/>
        <w:spacing w:line="520" w:lineRule="exact"/>
        <w:ind w:firstLine="643" w:firstLineChars="200"/>
        <w:jc w:val="both"/>
        <w:textAlignment w:val="auto"/>
        <w:rPr>
          <w:rFonts w:hint="eastAsia" w:ascii="仿宋" w:hAnsi="仿宋" w:eastAsia="仿宋" w:cs="仿宋"/>
          <w:b/>
          <w:bCs/>
          <w:sz w:val="32"/>
          <w:szCs w:val="32"/>
        </w:rPr>
      </w:pPr>
      <w:r>
        <w:rPr>
          <w:rFonts w:hint="eastAsia" w:ascii="楷体" w:hAnsi="楷体" w:eastAsia="楷体" w:cs="楷体"/>
          <w:b/>
          <w:bCs/>
          <w:color w:val="auto"/>
          <w:kern w:val="0"/>
          <w:sz w:val="32"/>
          <w:szCs w:val="32"/>
          <w:lang w:val="en-US" w:eastAsia="zh-CN" w:bidi="ar-SA"/>
        </w:rPr>
        <w:t>（六）专业名称词解释</w:t>
      </w:r>
    </w:p>
    <w:p>
      <w:pPr>
        <w:pStyle w:val="5"/>
        <w:shd w:val="clear" w:color="auto" w:fill="FFFFFF"/>
        <w:spacing w:before="0" w:beforeAutospacing="0" w:after="0" w:afterAutospacing="0" w:line="560" w:lineRule="exact"/>
        <w:ind w:firstLine="480"/>
        <w:jc w:val="both"/>
        <w:rPr>
          <w:rFonts w:ascii="仿宋_GB2312" w:hAnsi="微软雅黑" w:eastAsia="仿宋_GB2312"/>
          <w:sz w:val="32"/>
          <w:szCs w:val="32"/>
        </w:rPr>
      </w:pPr>
      <w:r>
        <w:rPr>
          <w:rFonts w:hint="eastAsia" w:ascii="仿宋_GB2312" w:eastAsia="仿宋_GB2312"/>
          <w:sz w:val="32"/>
          <w:szCs w:val="32"/>
        </w:rPr>
        <w:t>1.上年结转和结余：指以前年度支出预算因客观条件变化未执行完毕、结转到本年度按有关规定继续使用的资金，既包括财政拨款结转和结余，也包括事业收入、经营收入、其他收入的结转和结余。</w:t>
      </w:r>
    </w:p>
    <w:p>
      <w:pPr>
        <w:pStyle w:val="5"/>
        <w:shd w:val="clear" w:color="auto" w:fill="FFFFFF"/>
        <w:spacing w:before="0" w:beforeAutospacing="0" w:after="0" w:afterAutospacing="0" w:line="560" w:lineRule="exact"/>
        <w:ind w:firstLine="480"/>
        <w:jc w:val="both"/>
        <w:rPr>
          <w:rFonts w:ascii="仿宋_GB2312" w:hAnsi="微软雅黑" w:eastAsia="仿宋_GB2312"/>
          <w:sz w:val="32"/>
          <w:szCs w:val="32"/>
        </w:rPr>
      </w:pPr>
      <w:r>
        <w:rPr>
          <w:rFonts w:hint="eastAsia" w:ascii="仿宋_GB2312" w:eastAsia="仿宋_GB2312"/>
          <w:sz w:val="32"/>
          <w:szCs w:val="32"/>
        </w:rPr>
        <w:t>2.年末结转和结余：指本年度或以前年度预算安排、因客观条件发生变化无法按原计划实施，需要延迟到以后年度按有关规定继续使用的资金，既包括财政拨款结转和结余，也包括事业收入、经营收入、其他收入的结转和结余。</w:t>
      </w:r>
    </w:p>
    <w:p>
      <w:pPr>
        <w:pStyle w:val="5"/>
        <w:shd w:val="clear" w:color="auto" w:fill="FFFFFF"/>
        <w:spacing w:before="0" w:beforeAutospacing="0" w:after="0" w:afterAutospacing="0" w:line="560" w:lineRule="exact"/>
        <w:ind w:firstLine="480"/>
        <w:jc w:val="both"/>
        <w:rPr>
          <w:rFonts w:ascii="仿宋_GB2312" w:hAnsi="微软雅黑" w:eastAsia="仿宋_GB2312"/>
          <w:sz w:val="32"/>
          <w:szCs w:val="32"/>
        </w:rPr>
      </w:pPr>
      <w:r>
        <w:rPr>
          <w:rFonts w:hint="eastAsia" w:ascii="仿宋_GB2312" w:eastAsia="仿宋_GB2312"/>
          <w:sz w:val="32"/>
          <w:szCs w:val="32"/>
        </w:rPr>
        <w:t>3.基本支出：指为保障机构正常运转、完成日常工作任务而发生的人员支出和公用支出。</w:t>
      </w:r>
    </w:p>
    <w:p>
      <w:pPr>
        <w:pStyle w:val="5"/>
        <w:shd w:val="clear" w:color="auto" w:fill="FFFFFF"/>
        <w:spacing w:before="0" w:beforeAutospacing="0" w:after="0" w:afterAutospacing="0" w:line="560" w:lineRule="exact"/>
        <w:ind w:firstLine="480"/>
        <w:jc w:val="both"/>
        <w:rPr>
          <w:rFonts w:ascii="仿宋_GB2312" w:hAnsi="微软雅黑" w:eastAsia="仿宋_GB2312"/>
          <w:sz w:val="32"/>
          <w:szCs w:val="32"/>
        </w:rPr>
      </w:pPr>
      <w:r>
        <w:rPr>
          <w:rFonts w:hint="eastAsia" w:ascii="仿宋_GB2312" w:eastAsia="仿宋_GB2312"/>
          <w:sz w:val="32"/>
          <w:szCs w:val="32"/>
        </w:rPr>
        <w:t>4.项目支出：指在基本支出之外为完成特定行政任务和事业发展目标所发生的支出。</w:t>
      </w:r>
    </w:p>
    <w:p>
      <w:pPr>
        <w:pStyle w:val="5"/>
        <w:shd w:val="clear" w:color="auto" w:fill="FFFFFF"/>
        <w:spacing w:before="0" w:beforeAutospacing="0" w:after="0" w:afterAutospacing="0" w:line="560" w:lineRule="exact"/>
        <w:ind w:firstLine="480"/>
        <w:jc w:val="both"/>
        <w:rPr>
          <w:rFonts w:ascii="仿宋_GB2312" w:hAnsi="微软雅黑" w:eastAsia="仿宋_GB2312"/>
          <w:sz w:val="32"/>
          <w:szCs w:val="32"/>
        </w:rPr>
      </w:pPr>
      <w:r>
        <w:rPr>
          <w:rFonts w:hint="eastAsia" w:ascii="仿宋_GB2312" w:eastAsia="仿宋_GB2312"/>
          <w:sz w:val="32"/>
          <w:szCs w:val="32"/>
        </w:rPr>
        <w:t>5.“三公”经费：纳入同级财政预决算管理的“三公”经费是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租用费、燃料费、维修费、过路过桥费、保险费、安全奖励费用等支出；公务接待费反映单位按规定开支的各类公务接待（含外宾接待）支出。</w:t>
      </w:r>
    </w:p>
    <w:p>
      <w:pPr>
        <w:pStyle w:val="5"/>
        <w:shd w:val="clear" w:color="auto" w:fill="FFFFFF"/>
        <w:spacing w:before="0" w:beforeAutospacing="0" w:after="0" w:afterAutospacing="0" w:line="560" w:lineRule="exact"/>
        <w:ind w:firstLine="480"/>
        <w:jc w:val="both"/>
        <w:rPr>
          <w:rFonts w:ascii="仿宋_GB2312" w:hAnsi="微软雅黑" w:eastAsia="仿宋_GB2312"/>
          <w:sz w:val="32"/>
          <w:szCs w:val="32"/>
        </w:rPr>
      </w:pPr>
      <w:r>
        <w:rPr>
          <w:rFonts w:hint="eastAsia" w:ascii="仿宋_GB2312" w:eastAsia="仿宋_GB2312"/>
          <w:sz w:val="32"/>
          <w:szCs w:val="32"/>
        </w:rPr>
        <w:t>6.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9"/>
        <w:autoSpaceDE w:val="0"/>
        <w:spacing w:line="560" w:lineRule="exact"/>
        <w:ind w:firstLine="640" w:firstLineChars="200"/>
        <w:jc w:val="left"/>
        <w:rPr>
          <w:rFonts w:ascii="仿宋_GB2312" w:eastAsia="仿宋_GB2312"/>
          <w:sz w:val="32"/>
          <w:szCs w:val="32"/>
        </w:rPr>
      </w:pPr>
    </w:p>
    <w:p>
      <w:pPr>
        <w:pStyle w:val="9"/>
        <w:autoSpaceDE w:val="0"/>
        <w:spacing w:line="560" w:lineRule="exact"/>
        <w:ind w:firstLine="640" w:firstLineChars="200"/>
        <w:jc w:val="left"/>
        <w:rPr>
          <w:rFonts w:ascii="仿宋_GB2312" w:eastAsia="仿宋_GB2312"/>
          <w:sz w:val="32"/>
          <w:szCs w:val="32"/>
        </w:rPr>
      </w:pPr>
    </w:p>
    <w:p>
      <w:pPr>
        <w:pStyle w:val="9"/>
        <w:autoSpaceDE w:val="0"/>
        <w:spacing w:line="560" w:lineRule="exact"/>
        <w:ind w:firstLine="640" w:firstLineChars="200"/>
        <w:jc w:val="left"/>
        <w:rPr>
          <w:rFonts w:ascii="仿宋_GB2312" w:eastAsia="仿宋_GB2312"/>
          <w:sz w:val="32"/>
          <w:szCs w:val="32"/>
        </w:rPr>
      </w:pPr>
    </w:p>
    <w:p>
      <w:pPr>
        <w:pStyle w:val="9"/>
        <w:autoSpaceDE w:val="0"/>
        <w:spacing w:line="560" w:lineRule="exact"/>
        <w:ind w:firstLine="10880" w:firstLineChars="3400"/>
        <w:jc w:val="left"/>
        <w:rPr>
          <w:rFonts w:hint="default" w:ascii="仿宋_GB2312" w:eastAsia="仿宋_GB2312"/>
          <w:sz w:val="32"/>
          <w:szCs w:val="32"/>
          <w:lang w:val="en-US" w:eastAsia="zh-CN"/>
        </w:rPr>
      </w:pPr>
      <w:r>
        <w:rPr>
          <w:rFonts w:hint="eastAsia" w:ascii="仿宋_GB2312" w:eastAsia="仿宋_GB2312"/>
          <w:sz w:val="32"/>
          <w:szCs w:val="32"/>
          <w:lang w:val="en-US" w:eastAsia="zh-CN"/>
        </w:rPr>
        <w:t>2021年3月26日</w:t>
      </w:r>
    </w:p>
    <w:sectPr>
      <w:footerReference r:id="rId3" w:type="default"/>
      <w:pgSz w:w="16838" w:h="11906" w:orient="landscape"/>
      <w:pgMar w:top="1797" w:right="1440" w:bottom="1797" w:left="1440" w:header="709" w:footer="709" w:gutter="0"/>
      <w:pgNumType w:start="1"/>
      <w:cols w:space="0" w:num="1"/>
      <w:rtlGutter w:val="0"/>
      <w:docGrid w:type="lines" w:linePitch="36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aramond">
    <w:altName w:val="PMingLiU-ExtB"/>
    <w:panose1 w:val="02020404030301010803"/>
    <w:charset w:val="00"/>
    <w:family w:val="roman"/>
    <w:pitch w:val="default"/>
    <w:sig w:usb0="00000000" w:usb1="00000000" w:usb2="00000000" w:usb3="00000000" w:csb0="0000009F" w:csb1="DFD7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iNjRhZDNiMGJjNzdjMDNmNmMzMDdhYTViNmI3YjkifQ=="/>
  </w:docVars>
  <w:rsids>
    <w:rsidRoot w:val="00AB6640"/>
    <w:rsid w:val="00066222"/>
    <w:rsid w:val="00094D66"/>
    <w:rsid w:val="000D4753"/>
    <w:rsid w:val="00126821"/>
    <w:rsid w:val="001947D0"/>
    <w:rsid w:val="001F4686"/>
    <w:rsid w:val="0022509D"/>
    <w:rsid w:val="002829C1"/>
    <w:rsid w:val="002C3BF9"/>
    <w:rsid w:val="002E7946"/>
    <w:rsid w:val="002F597F"/>
    <w:rsid w:val="003178A2"/>
    <w:rsid w:val="00321B7C"/>
    <w:rsid w:val="00323B43"/>
    <w:rsid w:val="003711E5"/>
    <w:rsid w:val="00377E3D"/>
    <w:rsid w:val="0039735C"/>
    <w:rsid w:val="003B2177"/>
    <w:rsid w:val="003D37D8"/>
    <w:rsid w:val="003E13F4"/>
    <w:rsid w:val="003E3B7E"/>
    <w:rsid w:val="00402D19"/>
    <w:rsid w:val="00413E16"/>
    <w:rsid w:val="00420CCA"/>
    <w:rsid w:val="004315CF"/>
    <w:rsid w:val="004358AB"/>
    <w:rsid w:val="0043633E"/>
    <w:rsid w:val="00453918"/>
    <w:rsid w:val="004E1DDC"/>
    <w:rsid w:val="004E25CF"/>
    <w:rsid w:val="005954D0"/>
    <w:rsid w:val="005B4718"/>
    <w:rsid w:val="00682027"/>
    <w:rsid w:val="006941EF"/>
    <w:rsid w:val="006E046C"/>
    <w:rsid w:val="006E3D60"/>
    <w:rsid w:val="00822E97"/>
    <w:rsid w:val="00841902"/>
    <w:rsid w:val="00870574"/>
    <w:rsid w:val="008B7726"/>
    <w:rsid w:val="008E07F5"/>
    <w:rsid w:val="008F3E55"/>
    <w:rsid w:val="008F4DA2"/>
    <w:rsid w:val="00903863"/>
    <w:rsid w:val="009369B4"/>
    <w:rsid w:val="009E05B6"/>
    <w:rsid w:val="00A16AD3"/>
    <w:rsid w:val="00A35993"/>
    <w:rsid w:val="00A66838"/>
    <w:rsid w:val="00A6765A"/>
    <w:rsid w:val="00A82605"/>
    <w:rsid w:val="00A9199D"/>
    <w:rsid w:val="00A96F40"/>
    <w:rsid w:val="00AB6640"/>
    <w:rsid w:val="00B60FE8"/>
    <w:rsid w:val="00B7479E"/>
    <w:rsid w:val="00B835A7"/>
    <w:rsid w:val="00BE72EE"/>
    <w:rsid w:val="00C148B8"/>
    <w:rsid w:val="00C207DF"/>
    <w:rsid w:val="00C27205"/>
    <w:rsid w:val="00CD773F"/>
    <w:rsid w:val="00D65AFD"/>
    <w:rsid w:val="00D66C5E"/>
    <w:rsid w:val="00D72A74"/>
    <w:rsid w:val="00E37A54"/>
    <w:rsid w:val="00E947BF"/>
    <w:rsid w:val="00EA5A34"/>
    <w:rsid w:val="00F122DA"/>
    <w:rsid w:val="00FD4F4B"/>
    <w:rsid w:val="0B5668B2"/>
    <w:rsid w:val="138106D5"/>
    <w:rsid w:val="1DFF2C43"/>
    <w:rsid w:val="42215231"/>
    <w:rsid w:val="609452CE"/>
    <w:rsid w:val="73A918EB"/>
    <w:rsid w:val="7C791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0" w:beforeAutospacing="0" w:after="0" w:afterAutospacing="0" w:line="240" w:lineRule="auto"/>
      <w:jc w:val="both"/>
    </w:pPr>
    <w:rPr>
      <w:rFonts w:ascii="Garamond" w:hAnsi="Garamond"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paragraph" w:customStyle="1" w:styleId="8">
    <w:name w:val="Char"/>
    <w:basedOn w:val="1"/>
    <w:qFormat/>
    <w:uiPriority w:val="0"/>
    <w:pPr>
      <w:adjustRightInd w:val="0"/>
      <w:spacing w:line="360" w:lineRule="auto"/>
    </w:pPr>
    <w:rPr>
      <w:rFonts w:ascii="Times New Roman" w:hAnsi="Times New Roman"/>
      <w:kern w:val="0"/>
      <w:sz w:val="24"/>
      <w:szCs w:val="20"/>
    </w:rPr>
  </w:style>
  <w:style w:type="paragraph" w:customStyle="1" w:styleId="9">
    <w:name w:val="Char1"/>
    <w:basedOn w:val="1"/>
    <w:qFormat/>
    <w:uiPriority w:val="0"/>
    <w:pPr>
      <w:adjustRightInd w:val="0"/>
      <w:spacing w:line="360" w:lineRule="auto"/>
    </w:pPr>
    <w:rPr>
      <w:rFonts w:ascii="Times New Roman" w:hAnsi="Times New Roman"/>
      <w:kern w:val="0"/>
      <w:sz w:val="24"/>
    </w:rPr>
  </w:style>
  <w:style w:type="character" w:customStyle="1" w:styleId="10">
    <w:name w:val="页眉 Char"/>
    <w:basedOn w:val="7"/>
    <w:link w:val="4"/>
    <w:semiHidden/>
    <w:qFormat/>
    <w:uiPriority w:val="99"/>
    <w:rPr>
      <w:rFonts w:ascii="Garamond" w:hAnsi="Garamond" w:eastAsia="宋体" w:cs="Times New Roman"/>
      <w:kern w:val="2"/>
      <w:sz w:val="18"/>
      <w:szCs w:val="18"/>
    </w:rPr>
  </w:style>
  <w:style w:type="character" w:customStyle="1" w:styleId="11">
    <w:name w:val="页脚 Char"/>
    <w:basedOn w:val="7"/>
    <w:link w:val="3"/>
    <w:semiHidden/>
    <w:qFormat/>
    <w:uiPriority w:val="99"/>
    <w:rPr>
      <w:rFonts w:ascii="Garamond" w:hAnsi="Garamond" w:eastAsia="宋体" w:cs="Times New Roman"/>
      <w:kern w:val="2"/>
      <w:sz w:val="18"/>
      <w:szCs w:val="18"/>
    </w:rPr>
  </w:style>
  <w:style w:type="paragraph" w:customStyle="1" w:styleId="12">
    <w:name w:val=" Char"/>
    <w:basedOn w:val="1"/>
    <w:qFormat/>
    <w:uiPriority w:val="0"/>
    <w:pPr>
      <w:adjustRightInd w:val="0"/>
      <w:spacing w:line="360" w:lineRule="auto"/>
    </w:pPr>
    <w:rPr>
      <w:rFonts w:ascii="Times New Roman" w:hAnsi="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668</Words>
  <Characters>3810</Characters>
  <Lines>31</Lines>
  <Paragraphs>8</Paragraphs>
  <TotalTime>4</TotalTime>
  <ScaleCrop>false</ScaleCrop>
  <LinksUpToDate>false</LinksUpToDate>
  <CharactersWithSpaces>4470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2021-03-23T06:37:00Z</dcterms:created>
  <dc:creator>Users</dc:creator>
  <cp:lastModifiedBy>asrs</cp:lastModifiedBy>
  <cp:lastPrinted>2021-04-02T09:39:00Z</cp:lastPrinted>
  <dcterms:modified xsi:type="dcterms:W3CDTF">2025-08-13T03:35:09Z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5AAFAE04CC1A46D0950FF7E75973114F</vt:lpwstr>
  </property>
</Properties>
</file>