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贵州鸿侠</w:t>
            </w:r>
            <w:bookmarkStart w:id="0" w:name="_GoBack"/>
            <w:bookmarkEnd w:id="0"/>
            <w:r>
              <w:rPr>
                <w:rFonts w:hint="eastAsia" w:asciiTheme="minorEastAsia" w:hAnsiTheme="minorEastAsia" w:cstheme="minorEastAsia"/>
                <w:b/>
                <w:bCs w:val="0"/>
                <w:i w:val="0"/>
                <w:color w:val="000000"/>
                <w:kern w:val="0"/>
                <w:sz w:val="18"/>
                <w:szCs w:val="18"/>
                <w:u w:val="none"/>
                <w:lang w:val="en-US" w:eastAsia="zh-CN" w:bidi="ar"/>
              </w:rPr>
              <w:t xml:space="preserve">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EFE0C1C"/>
    <w:multiLevelType w:val="singleLevel"/>
    <w:tmpl w:val="9EFE0C1C"/>
    <w:lvl w:ilvl="0" w:tentative="0">
      <w:start w:val="1"/>
      <w:numFmt w:val="decimal"/>
      <w:lvlText w:val="%1."/>
      <w:lvlJc w:val="left"/>
      <w:pPr>
        <w:tabs>
          <w:tab w:val="left" w:pos="312"/>
        </w:tabs>
      </w:pPr>
    </w:lvl>
  </w:abstractNum>
  <w:abstractNum w:abstractNumId="2">
    <w:nsid w:val="BA775E24"/>
    <w:multiLevelType w:val="singleLevel"/>
    <w:tmpl w:val="BA775E24"/>
    <w:lvl w:ilvl="0" w:tentative="0">
      <w:start w:val="1"/>
      <w:numFmt w:val="chineseCounting"/>
      <w:suff w:val="nothing"/>
      <w:lvlText w:val="%1、"/>
      <w:lvlJc w:val="left"/>
      <w:rPr>
        <w:rFonts w:hint="eastAsia"/>
      </w:rPr>
    </w:lvl>
  </w:abstractNum>
  <w:abstractNum w:abstractNumId="3">
    <w:nsid w:val="CE105081"/>
    <w:multiLevelType w:val="singleLevel"/>
    <w:tmpl w:val="CE105081"/>
    <w:lvl w:ilvl="0" w:tentative="0">
      <w:start w:val="2"/>
      <w:numFmt w:val="decimal"/>
      <w:suff w:val="nothing"/>
      <w:lvlText w:val="%1、"/>
      <w:lvlJc w:val="left"/>
    </w:lvl>
  </w:abstractNum>
  <w:abstractNum w:abstractNumId="4">
    <w:nsid w:val="F9725C52"/>
    <w:multiLevelType w:val="singleLevel"/>
    <w:tmpl w:val="F9725C52"/>
    <w:lvl w:ilvl="0" w:tentative="0">
      <w:start w:val="2"/>
      <w:numFmt w:val="decimal"/>
      <w:suff w:val="nothing"/>
      <w:lvlText w:val="%1、"/>
      <w:lvlJc w:val="left"/>
    </w:lvl>
  </w:abstractNum>
  <w:abstractNum w:abstractNumId="5">
    <w:nsid w:val="002D4968"/>
    <w:multiLevelType w:val="singleLevel"/>
    <w:tmpl w:val="002D4968"/>
    <w:lvl w:ilvl="0" w:tentative="0">
      <w:start w:val="1"/>
      <w:numFmt w:val="decimal"/>
      <w:lvlText w:val="%1."/>
      <w:lvlJc w:val="left"/>
      <w:pPr>
        <w:tabs>
          <w:tab w:val="left" w:pos="312"/>
        </w:tabs>
      </w:pPr>
    </w:lvl>
  </w:abstractNum>
  <w:abstractNum w:abstractNumId="6">
    <w:nsid w:val="1FEA515A"/>
    <w:multiLevelType w:val="singleLevel"/>
    <w:tmpl w:val="1FEA515A"/>
    <w:lvl w:ilvl="0" w:tentative="0">
      <w:start w:val="2"/>
      <w:numFmt w:val="decimal"/>
      <w:suff w:val="nothing"/>
      <w:lvlText w:val="%1、"/>
      <w:lvlJc w:val="left"/>
    </w:lvl>
  </w:abstractNum>
  <w:abstractNum w:abstractNumId="7">
    <w:nsid w:val="7FFFE05E"/>
    <w:multiLevelType w:val="singleLevel"/>
    <w:tmpl w:val="7FFFE05E"/>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8D4FA4"/>
    <w:rsid w:val="03DFFC99"/>
    <w:rsid w:val="04D825E9"/>
    <w:rsid w:val="054C32AD"/>
    <w:rsid w:val="05BF447D"/>
    <w:rsid w:val="05EACD69"/>
    <w:rsid w:val="063858F6"/>
    <w:rsid w:val="0645199D"/>
    <w:rsid w:val="065169B7"/>
    <w:rsid w:val="069BD938"/>
    <w:rsid w:val="076FE744"/>
    <w:rsid w:val="077FBDCF"/>
    <w:rsid w:val="07BF7138"/>
    <w:rsid w:val="07CF5937"/>
    <w:rsid w:val="07DFFB5C"/>
    <w:rsid w:val="07F890A9"/>
    <w:rsid w:val="080A32C2"/>
    <w:rsid w:val="08554A47"/>
    <w:rsid w:val="0891D869"/>
    <w:rsid w:val="092FFC8D"/>
    <w:rsid w:val="095A3DD5"/>
    <w:rsid w:val="09FD8B89"/>
    <w:rsid w:val="09FF4B86"/>
    <w:rsid w:val="0A5F5631"/>
    <w:rsid w:val="0A6BCC92"/>
    <w:rsid w:val="0ADF4874"/>
    <w:rsid w:val="0AE36013"/>
    <w:rsid w:val="0AEF4C7B"/>
    <w:rsid w:val="0AF11F4A"/>
    <w:rsid w:val="0AF43397"/>
    <w:rsid w:val="0B7078E0"/>
    <w:rsid w:val="0B7EA4B8"/>
    <w:rsid w:val="0B7FB118"/>
    <w:rsid w:val="0BAE9807"/>
    <w:rsid w:val="0BD47E6F"/>
    <w:rsid w:val="0BE05C91"/>
    <w:rsid w:val="0BE702CC"/>
    <w:rsid w:val="0BEE96AE"/>
    <w:rsid w:val="0BEF6117"/>
    <w:rsid w:val="0BFBE6A4"/>
    <w:rsid w:val="0C7C13D3"/>
    <w:rsid w:val="0D3FC656"/>
    <w:rsid w:val="0DB7F358"/>
    <w:rsid w:val="0DBEEA9E"/>
    <w:rsid w:val="0DCEA345"/>
    <w:rsid w:val="0DD1E421"/>
    <w:rsid w:val="0DEF51F7"/>
    <w:rsid w:val="0DF38F8C"/>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EE3C6B"/>
    <w:rsid w:val="12B73259"/>
    <w:rsid w:val="12D65073"/>
    <w:rsid w:val="133F1801"/>
    <w:rsid w:val="137FF266"/>
    <w:rsid w:val="13BF98F1"/>
    <w:rsid w:val="13D7F841"/>
    <w:rsid w:val="13EEF401"/>
    <w:rsid w:val="13F7A791"/>
    <w:rsid w:val="13FB11A6"/>
    <w:rsid w:val="13FB752A"/>
    <w:rsid w:val="13FE4307"/>
    <w:rsid w:val="13FFA660"/>
    <w:rsid w:val="13FFE215"/>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B5FF16"/>
    <w:rsid w:val="1FB747DD"/>
    <w:rsid w:val="1FB75AFE"/>
    <w:rsid w:val="1FB7E79A"/>
    <w:rsid w:val="1FB7F3D6"/>
    <w:rsid w:val="1FBD134F"/>
    <w:rsid w:val="1FBDFB48"/>
    <w:rsid w:val="1FBE288B"/>
    <w:rsid w:val="1FBEC713"/>
    <w:rsid w:val="1FBF7368"/>
    <w:rsid w:val="1FC577DE"/>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F7CDFA"/>
    <w:rsid w:val="233E27CF"/>
    <w:rsid w:val="23498308"/>
    <w:rsid w:val="236C4D89"/>
    <w:rsid w:val="23720086"/>
    <w:rsid w:val="237F9EB3"/>
    <w:rsid w:val="238DDE06"/>
    <w:rsid w:val="23BE58FB"/>
    <w:rsid w:val="23BE5A00"/>
    <w:rsid w:val="23BF219C"/>
    <w:rsid w:val="23BF32FC"/>
    <w:rsid w:val="23BFA172"/>
    <w:rsid w:val="23DC48C1"/>
    <w:rsid w:val="23E53BFE"/>
    <w:rsid w:val="23EC5038"/>
    <w:rsid w:val="23F748C4"/>
    <w:rsid w:val="23FF28C7"/>
    <w:rsid w:val="23FFB44A"/>
    <w:rsid w:val="23FFFB06"/>
    <w:rsid w:val="246B035B"/>
    <w:rsid w:val="247BBB4C"/>
    <w:rsid w:val="24A5919C"/>
    <w:rsid w:val="24CD43B1"/>
    <w:rsid w:val="25222CB7"/>
    <w:rsid w:val="256E40C7"/>
    <w:rsid w:val="257FA216"/>
    <w:rsid w:val="259B1936"/>
    <w:rsid w:val="259C15A5"/>
    <w:rsid w:val="25BF23B8"/>
    <w:rsid w:val="25BF5FCF"/>
    <w:rsid w:val="25D74CB4"/>
    <w:rsid w:val="26930C40"/>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A92B56"/>
    <w:rsid w:val="2BBD4B98"/>
    <w:rsid w:val="2BBF482A"/>
    <w:rsid w:val="2BCF8A4C"/>
    <w:rsid w:val="2BD58F29"/>
    <w:rsid w:val="2BDB3195"/>
    <w:rsid w:val="2BF73190"/>
    <w:rsid w:val="2BF925C8"/>
    <w:rsid w:val="2BFB3E42"/>
    <w:rsid w:val="2BFB7106"/>
    <w:rsid w:val="2BFF36FF"/>
    <w:rsid w:val="2BFF67F1"/>
    <w:rsid w:val="2C5BC80C"/>
    <w:rsid w:val="2C7F18A6"/>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3FC8ED"/>
    <w:rsid w:val="2E5BC7FF"/>
    <w:rsid w:val="2E7EB271"/>
    <w:rsid w:val="2E7EC2F2"/>
    <w:rsid w:val="2E7FE16F"/>
    <w:rsid w:val="2EBE3CC2"/>
    <w:rsid w:val="2ECF8957"/>
    <w:rsid w:val="2ED03264"/>
    <w:rsid w:val="2EDF6BC5"/>
    <w:rsid w:val="2EDFA295"/>
    <w:rsid w:val="2EEEE1C2"/>
    <w:rsid w:val="2EF9FBED"/>
    <w:rsid w:val="2EFF2A94"/>
    <w:rsid w:val="2EFF6BBD"/>
    <w:rsid w:val="2F272F08"/>
    <w:rsid w:val="2F2E9709"/>
    <w:rsid w:val="2F34676C"/>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485E0C"/>
    <w:rsid w:val="30896BCA"/>
    <w:rsid w:val="30BBBF6D"/>
    <w:rsid w:val="30F29FC0"/>
    <w:rsid w:val="310EC720"/>
    <w:rsid w:val="313F3DC6"/>
    <w:rsid w:val="31EF3280"/>
    <w:rsid w:val="31FA5B1B"/>
    <w:rsid w:val="32982DBB"/>
    <w:rsid w:val="32C463EF"/>
    <w:rsid w:val="32C6C686"/>
    <w:rsid w:val="32D797FD"/>
    <w:rsid w:val="32D7EE15"/>
    <w:rsid w:val="337C8BD7"/>
    <w:rsid w:val="337CCD53"/>
    <w:rsid w:val="338FD85F"/>
    <w:rsid w:val="339EB743"/>
    <w:rsid w:val="33BF4F52"/>
    <w:rsid w:val="33C6D50C"/>
    <w:rsid w:val="33ED6A13"/>
    <w:rsid w:val="33F7287D"/>
    <w:rsid w:val="33FB3007"/>
    <w:rsid w:val="33FB963B"/>
    <w:rsid w:val="33FC9311"/>
    <w:rsid w:val="33FD344F"/>
    <w:rsid w:val="33FFC8F0"/>
    <w:rsid w:val="348A289A"/>
    <w:rsid w:val="34DB711F"/>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3F3F00"/>
    <w:rsid w:val="363FC7C0"/>
    <w:rsid w:val="365BC317"/>
    <w:rsid w:val="366047FB"/>
    <w:rsid w:val="366A0354"/>
    <w:rsid w:val="3671AFEA"/>
    <w:rsid w:val="36770050"/>
    <w:rsid w:val="36776DD6"/>
    <w:rsid w:val="367F335C"/>
    <w:rsid w:val="36B38DAA"/>
    <w:rsid w:val="36B55D15"/>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D0850"/>
    <w:rsid w:val="3BFD33ED"/>
    <w:rsid w:val="3BFDD6FE"/>
    <w:rsid w:val="3BFE04A8"/>
    <w:rsid w:val="3BFEADBB"/>
    <w:rsid w:val="3BFF1F0B"/>
    <w:rsid w:val="3BFF21BF"/>
    <w:rsid w:val="3BFF422D"/>
    <w:rsid w:val="3BFF49E3"/>
    <w:rsid w:val="3BFF9200"/>
    <w:rsid w:val="3BFFC198"/>
    <w:rsid w:val="3BFFF2D7"/>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FC5F8"/>
    <w:rsid w:val="3DA9F327"/>
    <w:rsid w:val="3DAB54F8"/>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F2A64"/>
    <w:rsid w:val="3DFF84E0"/>
    <w:rsid w:val="3DFFCB28"/>
    <w:rsid w:val="3DFFDCB6"/>
    <w:rsid w:val="3E2308CF"/>
    <w:rsid w:val="3E2D633E"/>
    <w:rsid w:val="3E3B832C"/>
    <w:rsid w:val="3E524A9F"/>
    <w:rsid w:val="3E5B37DE"/>
    <w:rsid w:val="3E5FA88B"/>
    <w:rsid w:val="3E6D0C2C"/>
    <w:rsid w:val="3E757BD8"/>
    <w:rsid w:val="3E7D644D"/>
    <w:rsid w:val="3E7F2F97"/>
    <w:rsid w:val="3E7FFF0D"/>
    <w:rsid w:val="3E860BAC"/>
    <w:rsid w:val="3E977CCF"/>
    <w:rsid w:val="3E9C88C8"/>
    <w:rsid w:val="3E9F7A72"/>
    <w:rsid w:val="3EAED1C4"/>
    <w:rsid w:val="3EAFDA4C"/>
    <w:rsid w:val="3EB3CAC7"/>
    <w:rsid w:val="3EBBDAB0"/>
    <w:rsid w:val="3EBEA609"/>
    <w:rsid w:val="3ED5CE69"/>
    <w:rsid w:val="3EDB6910"/>
    <w:rsid w:val="3EDB99B0"/>
    <w:rsid w:val="3EDE59DE"/>
    <w:rsid w:val="3EDFC57B"/>
    <w:rsid w:val="3EDFD3DA"/>
    <w:rsid w:val="3EDFE606"/>
    <w:rsid w:val="3EE1222C"/>
    <w:rsid w:val="3EE20371"/>
    <w:rsid w:val="3EE7231F"/>
    <w:rsid w:val="3EEB7257"/>
    <w:rsid w:val="3EEBD8E9"/>
    <w:rsid w:val="3EEE359C"/>
    <w:rsid w:val="3EF10719"/>
    <w:rsid w:val="3EF2344A"/>
    <w:rsid w:val="3EF3672D"/>
    <w:rsid w:val="3EF5CB73"/>
    <w:rsid w:val="3EF9251A"/>
    <w:rsid w:val="3EFBE58F"/>
    <w:rsid w:val="3EFC75FE"/>
    <w:rsid w:val="3EFCC75F"/>
    <w:rsid w:val="3EFD2BD2"/>
    <w:rsid w:val="3EFE5B0C"/>
    <w:rsid w:val="3EFEF0BD"/>
    <w:rsid w:val="3EFF0093"/>
    <w:rsid w:val="3EFF2298"/>
    <w:rsid w:val="3F1EE65A"/>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57B7"/>
    <w:rsid w:val="3F6FC1F3"/>
    <w:rsid w:val="3F723838"/>
    <w:rsid w:val="3F732DA9"/>
    <w:rsid w:val="3F75C94E"/>
    <w:rsid w:val="3F764AF9"/>
    <w:rsid w:val="3F770884"/>
    <w:rsid w:val="3F779E61"/>
    <w:rsid w:val="3F77B6E5"/>
    <w:rsid w:val="3F77D783"/>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4FCE0"/>
    <w:rsid w:val="3FD559F6"/>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F1094"/>
    <w:rsid w:val="3FFF1241"/>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1D74123"/>
    <w:rsid w:val="42423D08"/>
    <w:rsid w:val="4259B38B"/>
    <w:rsid w:val="42975177"/>
    <w:rsid w:val="42EF2267"/>
    <w:rsid w:val="42FD5A87"/>
    <w:rsid w:val="42FE4DA8"/>
    <w:rsid w:val="42FF7411"/>
    <w:rsid w:val="435D61F2"/>
    <w:rsid w:val="436F344C"/>
    <w:rsid w:val="437D4EEA"/>
    <w:rsid w:val="437DBE29"/>
    <w:rsid w:val="439D67BD"/>
    <w:rsid w:val="43BD0C0D"/>
    <w:rsid w:val="43CF2D79"/>
    <w:rsid w:val="43F78A46"/>
    <w:rsid w:val="445AB014"/>
    <w:rsid w:val="448D050C"/>
    <w:rsid w:val="44BBFAF2"/>
    <w:rsid w:val="44FEB650"/>
    <w:rsid w:val="45646694"/>
    <w:rsid w:val="45D68F73"/>
    <w:rsid w:val="45EF37B1"/>
    <w:rsid w:val="45F72FE8"/>
    <w:rsid w:val="45FE4B0E"/>
    <w:rsid w:val="45FEDAEB"/>
    <w:rsid w:val="45FF7097"/>
    <w:rsid w:val="45FF7FC9"/>
    <w:rsid w:val="465FADD6"/>
    <w:rsid w:val="467D8277"/>
    <w:rsid w:val="46BF98E5"/>
    <w:rsid w:val="46BFA44C"/>
    <w:rsid w:val="46F3FD87"/>
    <w:rsid w:val="46FF9BB3"/>
    <w:rsid w:val="47035760"/>
    <w:rsid w:val="473604B9"/>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B878B"/>
    <w:rsid w:val="4AC27267"/>
    <w:rsid w:val="4AF50EB9"/>
    <w:rsid w:val="4AF76CE6"/>
    <w:rsid w:val="4AFCDBE3"/>
    <w:rsid w:val="4B315ED7"/>
    <w:rsid w:val="4B6FB457"/>
    <w:rsid w:val="4B9D3823"/>
    <w:rsid w:val="4BBB727B"/>
    <w:rsid w:val="4BBFC06E"/>
    <w:rsid w:val="4BCF72E5"/>
    <w:rsid w:val="4BDAE61D"/>
    <w:rsid w:val="4BDC15AA"/>
    <w:rsid w:val="4BDF21B2"/>
    <w:rsid w:val="4BEC23CA"/>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3B9A8A"/>
    <w:rsid w:val="4E434EEF"/>
    <w:rsid w:val="4E5F486C"/>
    <w:rsid w:val="4E6982EA"/>
    <w:rsid w:val="4E6E79D9"/>
    <w:rsid w:val="4E7B7BB3"/>
    <w:rsid w:val="4E7F3A1C"/>
    <w:rsid w:val="4E8C2D0D"/>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8A80"/>
    <w:rsid w:val="4FF93964"/>
    <w:rsid w:val="4FFA58D9"/>
    <w:rsid w:val="4FFB6AB7"/>
    <w:rsid w:val="4FFBC574"/>
    <w:rsid w:val="4FFD4CE1"/>
    <w:rsid w:val="4FFD56D8"/>
    <w:rsid w:val="4FFD6BC0"/>
    <w:rsid w:val="4FFDB777"/>
    <w:rsid w:val="4FFE3CCD"/>
    <w:rsid w:val="4FFE8E3B"/>
    <w:rsid w:val="4FFEBFC3"/>
    <w:rsid w:val="4FFF1B3F"/>
    <w:rsid w:val="4FFF4CF4"/>
    <w:rsid w:val="4FFF693F"/>
    <w:rsid w:val="4FFF7132"/>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6746D7"/>
    <w:rsid w:val="556F2BBE"/>
    <w:rsid w:val="55726DD4"/>
    <w:rsid w:val="557DD025"/>
    <w:rsid w:val="5599CCB7"/>
    <w:rsid w:val="5599E013"/>
    <w:rsid w:val="559FF19B"/>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B4EA0"/>
    <w:rsid w:val="577E4AC3"/>
    <w:rsid w:val="577FCD4C"/>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5EED2D"/>
    <w:rsid w:val="58BD1228"/>
    <w:rsid w:val="58DF04C5"/>
    <w:rsid w:val="58F5D34E"/>
    <w:rsid w:val="5931569A"/>
    <w:rsid w:val="5933AE33"/>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F6341"/>
    <w:rsid w:val="5AEFE066"/>
    <w:rsid w:val="5AF321F3"/>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3B95EC"/>
    <w:rsid w:val="5E4F0724"/>
    <w:rsid w:val="5E67A5C2"/>
    <w:rsid w:val="5E67FC47"/>
    <w:rsid w:val="5E6F27EF"/>
    <w:rsid w:val="5E7636D8"/>
    <w:rsid w:val="5E773BDF"/>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671810"/>
    <w:rsid w:val="5F6D3F31"/>
    <w:rsid w:val="5F6DE8D6"/>
    <w:rsid w:val="5F6F295E"/>
    <w:rsid w:val="5F6F4507"/>
    <w:rsid w:val="5F72DF1B"/>
    <w:rsid w:val="5F74DA84"/>
    <w:rsid w:val="5F756973"/>
    <w:rsid w:val="5F757D7B"/>
    <w:rsid w:val="5F77DE6B"/>
    <w:rsid w:val="5F78D5FC"/>
    <w:rsid w:val="5F79F0D3"/>
    <w:rsid w:val="5F7B8E7C"/>
    <w:rsid w:val="5F7C735D"/>
    <w:rsid w:val="5F7D66E1"/>
    <w:rsid w:val="5F7D8793"/>
    <w:rsid w:val="5F7DCAF0"/>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E5A9C"/>
    <w:rsid w:val="6BFF4D77"/>
    <w:rsid w:val="6BFF6AAB"/>
    <w:rsid w:val="6BFF8EEE"/>
    <w:rsid w:val="6BFFD4FC"/>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C42D1"/>
    <w:rsid w:val="6D7F39F6"/>
    <w:rsid w:val="6D7F6054"/>
    <w:rsid w:val="6D9F2FB2"/>
    <w:rsid w:val="6DABDA75"/>
    <w:rsid w:val="6DAF11C9"/>
    <w:rsid w:val="6DAF27EB"/>
    <w:rsid w:val="6DBC59D4"/>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E0208"/>
    <w:rsid w:val="6E732A59"/>
    <w:rsid w:val="6E773C21"/>
    <w:rsid w:val="6E780271"/>
    <w:rsid w:val="6E78B8AC"/>
    <w:rsid w:val="6E7B075C"/>
    <w:rsid w:val="6E7D361B"/>
    <w:rsid w:val="6E7E3A40"/>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832A"/>
    <w:rsid w:val="6F7F93B9"/>
    <w:rsid w:val="6F7FBED0"/>
    <w:rsid w:val="6F7FDCC5"/>
    <w:rsid w:val="6F7FE91E"/>
    <w:rsid w:val="6F8D8FD1"/>
    <w:rsid w:val="6F8FF799"/>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EB7F"/>
    <w:rsid w:val="6FDDF560"/>
    <w:rsid w:val="6FDE0459"/>
    <w:rsid w:val="6FDE30F8"/>
    <w:rsid w:val="6FDE692F"/>
    <w:rsid w:val="6FDEEB20"/>
    <w:rsid w:val="6FDF4DF5"/>
    <w:rsid w:val="6FDF9035"/>
    <w:rsid w:val="6FE71543"/>
    <w:rsid w:val="6FEAE974"/>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F1BA"/>
    <w:rsid w:val="6FFB1B51"/>
    <w:rsid w:val="6FFB2F82"/>
    <w:rsid w:val="6FFB70BB"/>
    <w:rsid w:val="6FFB7863"/>
    <w:rsid w:val="6FFB7A8B"/>
    <w:rsid w:val="6FFB8653"/>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17CCF6"/>
    <w:rsid w:val="702B1E22"/>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AF478B"/>
    <w:rsid w:val="72BF0C7E"/>
    <w:rsid w:val="72DBB6EB"/>
    <w:rsid w:val="72DF1093"/>
    <w:rsid w:val="72DF5323"/>
    <w:rsid w:val="72DF5ADA"/>
    <w:rsid w:val="72F14B49"/>
    <w:rsid w:val="72F363E8"/>
    <w:rsid w:val="72F684A5"/>
    <w:rsid w:val="72FA666E"/>
    <w:rsid w:val="72FA725F"/>
    <w:rsid w:val="72FAF4CD"/>
    <w:rsid w:val="72FB5B9F"/>
    <w:rsid w:val="72FB9090"/>
    <w:rsid w:val="730F4FB0"/>
    <w:rsid w:val="732A65AD"/>
    <w:rsid w:val="733B8F27"/>
    <w:rsid w:val="73416E5D"/>
    <w:rsid w:val="73575BDB"/>
    <w:rsid w:val="735F87B4"/>
    <w:rsid w:val="73774FAA"/>
    <w:rsid w:val="7377CDD8"/>
    <w:rsid w:val="7377F8B7"/>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667A62"/>
    <w:rsid w:val="756BD9C7"/>
    <w:rsid w:val="75776C8B"/>
    <w:rsid w:val="757CD5C9"/>
    <w:rsid w:val="757DAB69"/>
    <w:rsid w:val="757F165E"/>
    <w:rsid w:val="7596A5E6"/>
    <w:rsid w:val="759EC52C"/>
    <w:rsid w:val="759F8BA9"/>
    <w:rsid w:val="75B2E9D9"/>
    <w:rsid w:val="75B6269B"/>
    <w:rsid w:val="75BA25D4"/>
    <w:rsid w:val="75BB1EAC"/>
    <w:rsid w:val="75BEBDF9"/>
    <w:rsid w:val="75BED463"/>
    <w:rsid w:val="75BF4EC5"/>
    <w:rsid w:val="75BFE68F"/>
    <w:rsid w:val="75CE95B8"/>
    <w:rsid w:val="75D7C9CF"/>
    <w:rsid w:val="75DBA4A3"/>
    <w:rsid w:val="75DD13A9"/>
    <w:rsid w:val="75DEB009"/>
    <w:rsid w:val="75DF7D62"/>
    <w:rsid w:val="75E52067"/>
    <w:rsid w:val="75EE769A"/>
    <w:rsid w:val="75EF003C"/>
    <w:rsid w:val="75EF3085"/>
    <w:rsid w:val="75EF55C2"/>
    <w:rsid w:val="75EFB91B"/>
    <w:rsid w:val="75F5C620"/>
    <w:rsid w:val="75F70283"/>
    <w:rsid w:val="75F7CE41"/>
    <w:rsid w:val="75FB0CD8"/>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DDA3D"/>
    <w:rsid w:val="77CDEDDE"/>
    <w:rsid w:val="77CEA98A"/>
    <w:rsid w:val="77CF3D74"/>
    <w:rsid w:val="77CF43E4"/>
    <w:rsid w:val="77CFD54D"/>
    <w:rsid w:val="77D70236"/>
    <w:rsid w:val="77D714D8"/>
    <w:rsid w:val="77D75D6B"/>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ADAAE"/>
    <w:rsid w:val="77FB2BC7"/>
    <w:rsid w:val="77FC5F41"/>
    <w:rsid w:val="77FD5689"/>
    <w:rsid w:val="77FD6F3D"/>
    <w:rsid w:val="77FD70AA"/>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D4F0"/>
    <w:rsid w:val="77FFD65B"/>
    <w:rsid w:val="77FFE484"/>
    <w:rsid w:val="77FFE565"/>
    <w:rsid w:val="77FFEBFB"/>
    <w:rsid w:val="78151AD7"/>
    <w:rsid w:val="783CA4C9"/>
    <w:rsid w:val="78618552"/>
    <w:rsid w:val="786D3CA8"/>
    <w:rsid w:val="786F9702"/>
    <w:rsid w:val="7877CF89"/>
    <w:rsid w:val="788D15E4"/>
    <w:rsid w:val="78973B53"/>
    <w:rsid w:val="78A53442"/>
    <w:rsid w:val="78BD96E1"/>
    <w:rsid w:val="78BF4BEA"/>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B0C60"/>
    <w:rsid w:val="7B3B95A6"/>
    <w:rsid w:val="7B3E06A5"/>
    <w:rsid w:val="7B3E2DD6"/>
    <w:rsid w:val="7B3EFE54"/>
    <w:rsid w:val="7B441EFA"/>
    <w:rsid w:val="7B476A9F"/>
    <w:rsid w:val="7B498082"/>
    <w:rsid w:val="7B571445"/>
    <w:rsid w:val="7B5BFA1B"/>
    <w:rsid w:val="7B5C27DC"/>
    <w:rsid w:val="7B5F1054"/>
    <w:rsid w:val="7B5F22C1"/>
    <w:rsid w:val="7B5F4778"/>
    <w:rsid w:val="7B670EF4"/>
    <w:rsid w:val="7B6B022E"/>
    <w:rsid w:val="7B6B730B"/>
    <w:rsid w:val="7B6E3BCA"/>
    <w:rsid w:val="7B6E8587"/>
    <w:rsid w:val="7B734A47"/>
    <w:rsid w:val="7B751F24"/>
    <w:rsid w:val="7B76EB5A"/>
    <w:rsid w:val="7B77D79E"/>
    <w:rsid w:val="7B797CE6"/>
    <w:rsid w:val="7B7B8BF8"/>
    <w:rsid w:val="7B7CF77C"/>
    <w:rsid w:val="7B7D3F02"/>
    <w:rsid w:val="7B7D538B"/>
    <w:rsid w:val="7B7E2CF8"/>
    <w:rsid w:val="7B7EC869"/>
    <w:rsid w:val="7B7EEB31"/>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413A"/>
    <w:rsid w:val="7BEEDE50"/>
    <w:rsid w:val="7BEEE306"/>
    <w:rsid w:val="7BEF4BB2"/>
    <w:rsid w:val="7BEFD50A"/>
    <w:rsid w:val="7BEFEF33"/>
    <w:rsid w:val="7BF371D5"/>
    <w:rsid w:val="7BF5379C"/>
    <w:rsid w:val="7BF58167"/>
    <w:rsid w:val="7BF62268"/>
    <w:rsid w:val="7BF6BD78"/>
    <w:rsid w:val="7BF709B7"/>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E0DA"/>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E20D8"/>
    <w:rsid w:val="7DBE345A"/>
    <w:rsid w:val="7DBE92B9"/>
    <w:rsid w:val="7DBF3D24"/>
    <w:rsid w:val="7DBF5368"/>
    <w:rsid w:val="7DBFAC80"/>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F1A378"/>
    <w:rsid w:val="7DF25C3D"/>
    <w:rsid w:val="7DF29612"/>
    <w:rsid w:val="7DF2A613"/>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B2021"/>
    <w:rsid w:val="7E3D6552"/>
    <w:rsid w:val="7E3DF20C"/>
    <w:rsid w:val="7E3F4BAD"/>
    <w:rsid w:val="7E3F4DB6"/>
    <w:rsid w:val="7E3F960E"/>
    <w:rsid w:val="7E4A616E"/>
    <w:rsid w:val="7E4C735F"/>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DEFF"/>
    <w:rsid w:val="7EE508D6"/>
    <w:rsid w:val="7EE7614A"/>
    <w:rsid w:val="7EE79DEB"/>
    <w:rsid w:val="7EE7BB84"/>
    <w:rsid w:val="7EEAD309"/>
    <w:rsid w:val="7EEB4FE8"/>
    <w:rsid w:val="7EEB6AC8"/>
    <w:rsid w:val="7EEB72BF"/>
    <w:rsid w:val="7EEBE868"/>
    <w:rsid w:val="7EEBF984"/>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C12"/>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F68"/>
    <w:rsid w:val="7FBD6BE1"/>
    <w:rsid w:val="7FBDD385"/>
    <w:rsid w:val="7FBDF5B7"/>
    <w:rsid w:val="7FBE4E47"/>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18DF"/>
    <w:rsid w:val="7FDB1F33"/>
    <w:rsid w:val="7FDB36CC"/>
    <w:rsid w:val="7FDBA4A5"/>
    <w:rsid w:val="7FDBB8D5"/>
    <w:rsid w:val="7FDBBA23"/>
    <w:rsid w:val="7FDBD96D"/>
    <w:rsid w:val="7FDBDA60"/>
    <w:rsid w:val="7FDCB2E9"/>
    <w:rsid w:val="7FDD1EA1"/>
    <w:rsid w:val="7FDD3050"/>
    <w:rsid w:val="7FDD9834"/>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9C"/>
    <w:rsid w:val="7FFF9837"/>
    <w:rsid w:val="7FFF989C"/>
    <w:rsid w:val="7FFF9A5F"/>
    <w:rsid w:val="7FFF9A79"/>
    <w:rsid w:val="7FFF9E64"/>
    <w:rsid w:val="7FFF9F98"/>
    <w:rsid w:val="7FFFA133"/>
    <w:rsid w:val="7FFFA57B"/>
    <w:rsid w:val="7FFFA88A"/>
    <w:rsid w:val="7FFFA99A"/>
    <w:rsid w:val="7FFFABFF"/>
    <w:rsid w:val="7FFFAECB"/>
    <w:rsid w:val="7FFFB5C5"/>
    <w:rsid w:val="7FFFB5FD"/>
    <w:rsid w:val="7FFFB653"/>
    <w:rsid w:val="7FFFC71B"/>
    <w:rsid w:val="7FFFC733"/>
    <w:rsid w:val="7FFFD627"/>
    <w:rsid w:val="7FFFDBF5"/>
    <w:rsid w:val="7FFFE3AF"/>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F36118"/>
    <w:rsid w:val="96FF65E1"/>
    <w:rsid w:val="973E9764"/>
    <w:rsid w:val="975D3C50"/>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F3478"/>
    <w:rsid w:val="B7FF3C15"/>
    <w:rsid w:val="B7FF45B6"/>
    <w:rsid w:val="B7FF7B61"/>
    <w:rsid w:val="B837D8FB"/>
    <w:rsid w:val="B837F83C"/>
    <w:rsid w:val="B83F2357"/>
    <w:rsid w:val="B86652A9"/>
    <w:rsid w:val="B87F96B1"/>
    <w:rsid w:val="B89F9B87"/>
    <w:rsid w:val="B8BB7039"/>
    <w:rsid w:val="B8BD9CD6"/>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7803D"/>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81BA3"/>
    <w:rsid w:val="BDDB95DD"/>
    <w:rsid w:val="BDDE7478"/>
    <w:rsid w:val="BDDF12F0"/>
    <w:rsid w:val="BDDF1CB7"/>
    <w:rsid w:val="BDDF227A"/>
    <w:rsid w:val="BDE42EFE"/>
    <w:rsid w:val="BDE59AB4"/>
    <w:rsid w:val="BDE72E8D"/>
    <w:rsid w:val="BDEFBC78"/>
    <w:rsid w:val="BDF3EE60"/>
    <w:rsid w:val="BDF70746"/>
    <w:rsid w:val="BDF75A11"/>
    <w:rsid w:val="BDF7D2D8"/>
    <w:rsid w:val="BDF92620"/>
    <w:rsid w:val="BDFA0502"/>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DB91"/>
    <w:rsid w:val="C7CB46FE"/>
    <w:rsid w:val="C7D94140"/>
    <w:rsid w:val="C7DB09B9"/>
    <w:rsid w:val="C7DB6270"/>
    <w:rsid w:val="C7DDA3BB"/>
    <w:rsid w:val="C7DE9912"/>
    <w:rsid w:val="C7DFBC6F"/>
    <w:rsid w:val="C7F94D2D"/>
    <w:rsid w:val="C7FAAA27"/>
    <w:rsid w:val="C7FC8DAD"/>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9E1"/>
    <w:rsid w:val="CFE7E699"/>
    <w:rsid w:val="CFEB4C27"/>
    <w:rsid w:val="CFED7959"/>
    <w:rsid w:val="CFEDBDD8"/>
    <w:rsid w:val="CFEDEE19"/>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B0101"/>
    <w:rsid w:val="D5FBA108"/>
    <w:rsid w:val="D5FC9779"/>
    <w:rsid w:val="D5FDF364"/>
    <w:rsid w:val="D5FFFFCC"/>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7717"/>
    <w:rsid w:val="D7BDBE0E"/>
    <w:rsid w:val="D7CCBB58"/>
    <w:rsid w:val="D7D51580"/>
    <w:rsid w:val="D7D93A8C"/>
    <w:rsid w:val="D7DABC95"/>
    <w:rsid w:val="D7DB2865"/>
    <w:rsid w:val="D7DB6C7D"/>
    <w:rsid w:val="D7DB739F"/>
    <w:rsid w:val="D7DDFC24"/>
    <w:rsid w:val="D7DFE0FA"/>
    <w:rsid w:val="D7DFF2A4"/>
    <w:rsid w:val="D7EDA57E"/>
    <w:rsid w:val="D7EED9C6"/>
    <w:rsid w:val="D7F5C87B"/>
    <w:rsid w:val="D7F6923A"/>
    <w:rsid w:val="D7F893EE"/>
    <w:rsid w:val="D7FB1BE3"/>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7314C"/>
    <w:rsid w:val="DD785F97"/>
    <w:rsid w:val="DD7E8B10"/>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FBF31C"/>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A49"/>
    <w:rsid w:val="E68F6F55"/>
    <w:rsid w:val="E6B960E1"/>
    <w:rsid w:val="E6BD6CD8"/>
    <w:rsid w:val="E6DAE2D5"/>
    <w:rsid w:val="E6DBA6DF"/>
    <w:rsid w:val="E6DFE834"/>
    <w:rsid w:val="E6E1FDD6"/>
    <w:rsid w:val="E6EBCF9D"/>
    <w:rsid w:val="E6F3D291"/>
    <w:rsid w:val="E6F3ECA5"/>
    <w:rsid w:val="E6F483B5"/>
    <w:rsid w:val="E6F7F554"/>
    <w:rsid w:val="E6FB49D2"/>
    <w:rsid w:val="E6FCFBBC"/>
    <w:rsid w:val="E6FF4EC9"/>
    <w:rsid w:val="E71F178E"/>
    <w:rsid w:val="E72B0AF6"/>
    <w:rsid w:val="E73D34B7"/>
    <w:rsid w:val="E74F6ABE"/>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4CDCF7"/>
    <w:rsid w:val="EE6F1CFC"/>
    <w:rsid w:val="EE6F40C2"/>
    <w:rsid w:val="EE73A295"/>
    <w:rsid w:val="EE74533E"/>
    <w:rsid w:val="EE7D8213"/>
    <w:rsid w:val="EE7F58AC"/>
    <w:rsid w:val="EE7F7242"/>
    <w:rsid w:val="EE7FA8A6"/>
    <w:rsid w:val="EE8F449C"/>
    <w:rsid w:val="EE9F328A"/>
    <w:rsid w:val="EE9F3DB2"/>
    <w:rsid w:val="EE9F99A1"/>
    <w:rsid w:val="EEAFF492"/>
    <w:rsid w:val="EEB9350D"/>
    <w:rsid w:val="EEBB1050"/>
    <w:rsid w:val="EEBEE8F2"/>
    <w:rsid w:val="EEBF0179"/>
    <w:rsid w:val="EEBFBD52"/>
    <w:rsid w:val="EEC8D6E3"/>
    <w:rsid w:val="EECD7F78"/>
    <w:rsid w:val="EED2384E"/>
    <w:rsid w:val="EED51BFE"/>
    <w:rsid w:val="EED7722A"/>
    <w:rsid w:val="EEDE03A8"/>
    <w:rsid w:val="EEE5AF5B"/>
    <w:rsid w:val="EEE73FEE"/>
    <w:rsid w:val="EEEB09BC"/>
    <w:rsid w:val="EEEF07E5"/>
    <w:rsid w:val="EEEFCBD6"/>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CD4F"/>
    <w:rsid w:val="EFF1E275"/>
    <w:rsid w:val="EFF33341"/>
    <w:rsid w:val="EFF45858"/>
    <w:rsid w:val="EFF45FDE"/>
    <w:rsid w:val="EFF597E7"/>
    <w:rsid w:val="EFF70062"/>
    <w:rsid w:val="EFF76754"/>
    <w:rsid w:val="EFF76B42"/>
    <w:rsid w:val="EFF78FA0"/>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F3CC2"/>
    <w:rsid w:val="F356ED1A"/>
    <w:rsid w:val="F366A96D"/>
    <w:rsid w:val="F36DE1FC"/>
    <w:rsid w:val="F36F66D2"/>
    <w:rsid w:val="F377623A"/>
    <w:rsid w:val="F379D4B6"/>
    <w:rsid w:val="F37A727C"/>
    <w:rsid w:val="F37B30C9"/>
    <w:rsid w:val="F37C385F"/>
    <w:rsid w:val="F38B11A5"/>
    <w:rsid w:val="F39D0EE0"/>
    <w:rsid w:val="F39F12E9"/>
    <w:rsid w:val="F39F867E"/>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56661D"/>
    <w:rsid w:val="F65D0F7E"/>
    <w:rsid w:val="F6641B9A"/>
    <w:rsid w:val="F66F6EC4"/>
    <w:rsid w:val="F66F9FA4"/>
    <w:rsid w:val="F66FC1E1"/>
    <w:rsid w:val="F6755E3F"/>
    <w:rsid w:val="F67DC0C1"/>
    <w:rsid w:val="F67DCD91"/>
    <w:rsid w:val="F67DEB76"/>
    <w:rsid w:val="F67F646C"/>
    <w:rsid w:val="F67F66F4"/>
    <w:rsid w:val="F67F7458"/>
    <w:rsid w:val="F67F8707"/>
    <w:rsid w:val="F6959A14"/>
    <w:rsid w:val="F697AEF0"/>
    <w:rsid w:val="F69B755C"/>
    <w:rsid w:val="F69C5619"/>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55E1B"/>
    <w:rsid w:val="F77A25D5"/>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D3B9E"/>
    <w:rsid w:val="F7FD4A19"/>
    <w:rsid w:val="F7FD53F4"/>
    <w:rsid w:val="F7FD5A80"/>
    <w:rsid w:val="F7FD7516"/>
    <w:rsid w:val="F7FDCD03"/>
    <w:rsid w:val="F7FDE50B"/>
    <w:rsid w:val="F7FE0ADB"/>
    <w:rsid w:val="F7FE1B72"/>
    <w:rsid w:val="F7FE66C0"/>
    <w:rsid w:val="F7FE6FCD"/>
    <w:rsid w:val="F7FEEFD3"/>
    <w:rsid w:val="F7FEFE37"/>
    <w:rsid w:val="F7FF0548"/>
    <w:rsid w:val="F7FF1908"/>
    <w:rsid w:val="F7FF1CC7"/>
    <w:rsid w:val="F7FF1DAE"/>
    <w:rsid w:val="F7FF245C"/>
    <w:rsid w:val="F7FF396E"/>
    <w:rsid w:val="F7FF398F"/>
    <w:rsid w:val="F7FF3C50"/>
    <w:rsid w:val="F7FF6300"/>
    <w:rsid w:val="F7FF8654"/>
    <w:rsid w:val="F7FF933B"/>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B14A4"/>
    <w:rsid w:val="F9FB3AD7"/>
    <w:rsid w:val="F9FB8272"/>
    <w:rsid w:val="F9FBBB95"/>
    <w:rsid w:val="F9FC46D2"/>
    <w:rsid w:val="F9FD59EE"/>
    <w:rsid w:val="F9FDDC0D"/>
    <w:rsid w:val="F9FE828D"/>
    <w:rsid w:val="F9FECD16"/>
    <w:rsid w:val="F9FF1996"/>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E7904"/>
    <w:rsid w:val="FE7EF765"/>
    <w:rsid w:val="FE7F6EC9"/>
    <w:rsid w:val="FE7F8F4E"/>
    <w:rsid w:val="FE7F91D9"/>
    <w:rsid w:val="FE7F976B"/>
    <w:rsid w:val="FE7F9CA0"/>
    <w:rsid w:val="FE7FB39A"/>
    <w:rsid w:val="FE7FB96E"/>
    <w:rsid w:val="FE7FFA11"/>
    <w:rsid w:val="FE7FFA78"/>
    <w:rsid w:val="FE8F8825"/>
    <w:rsid w:val="FE8F9F0E"/>
    <w:rsid w:val="FE90E530"/>
    <w:rsid w:val="FE9317C9"/>
    <w:rsid w:val="FE9A9D3C"/>
    <w:rsid w:val="FE9B8B29"/>
    <w:rsid w:val="FE9E1DCA"/>
    <w:rsid w:val="FE9E4FDB"/>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A70D"/>
    <w:rsid w:val="FEFECE20"/>
    <w:rsid w:val="FEFF1707"/>
    <w:rsid w:val="FEFF21A0"/>
    <w:rsid w:val="FEFF2703"/>
    <w:rsid w:val="FEFF3377"/>
    <w:rsid w:val="FEFF427B"/>
    <w:rsid w:val="FEFF5682"/>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9049"/>
    <w:rsid w:val="FF3FA569"/>
    <w:rsid w:val="FF4562A7"/>
    <w:rsid w:val="FF470732"/>
    <w:rsid w:val="FF48C809"/>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DFFE"/>
    <w:rsid w:val="FF75E87C"/>
    <w:rsid w:val="FF76373C"/>
    <w:rsid w:val="FF76A386"/>
    <w:rsid w:val="FF771101"/>
    <w:rsid w:val="FF772B94"/>
    <w:rsid w:val="FF772EE3"/>
    <w:rsid w:val="FF77357C"/>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C0474"/>
    <w:rsid w:val="FFBC3C46"/>
    <w:rsid w:val="FFBD0113"/>
    <w:rsid w:val="FFBD35E4"/>
    <w:rsid w:val="FFBD587A"/>
    <w:rsid w:val="FFBD9A7A"/>
    <w:rsid w:val="FFBDBD8F"/>
    <w:rsid w:val="FFBE00ED"/>
    <w:rsid w:val="FFBE1F0F"/>
    <w:rsid w:val="FFBE362F"/>
    <w:rsid w:val="FFBE8D61"/>
    <w:rsid w:val="FFBF0BC8"/>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E0111"/>
    <w:rsid w:val="FFDE119E"/>
    <w:rsid w:val="FFDE53D3"/>
    <w:rsid w:val="FFDEEC92"/>
    <w:rsid w:val="FFDF0CA7"/>
    <w:rsid w:val="FFDF2DA0"/>
    <w:rsid w:val="FFDF6092"/>
    <w:rsid w:val="FFDF72E2"/>
    <w:rsid w:val="FFDF7EC7"/>
    <w:rsid w:val="FFDFA960"/>
    <w:rsid w:val="FFDFCC82"/>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F7"/>
    <w:rsid w:val="FFEF5741"/>
    <w:rsid w:val="FFEF674C"/>
    <w:rsid w:val="FFEF6E7D"/>
    <w:rsid w:val="FFEF8511"/>
    <w:rsid w:val="FFEF8C81"/>
    <w:rsid w:val="FFEF91E0"/>
    <w:rsid w:val="FFEF9CC1"/>
    <w:rsid w:val="FFEFD914"/>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816D"/>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23948</Words>
  <Characters>26325</Characters>
  <Lines>0</Lines>
  <Paragraphs>0</Paragraphs>
  <TotalTime>162</TotalTime>
  <ScaleCrop>false</ScaleCrop>
  <LinksUpToDate>false</LinksUpToDate>
  <CharactersWithSpaces>28902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2023-02-19T16:14:00Z</dcterms:created>
  <dc:creator>Administrator</dc:creator>
  <cp:lastModifiedBy>ysgz</cp:lastModifiedBy>
  <dcterms:modified xsi:type="dcterms:W3CDTF">2025-05-28T18:02:57Z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8270A15D53714D24A9390C3FF7C402EB_13</vt:lpwstr>
  </property>
  <property fmtid="{D5CDD505-2E9C-101B-9397-08002B2CF9AE}" pid="4" name="KSOTemplateDocerSaveRecord">
    <vt:lpwstr>eyJoZGlkIjoiMjY4Y2Y1ZTNmNjFkZDMyNzI0Nzg0ZGE3YWY0ZDA3MTMiLCJ1c2VySWQiOiIzODExOTg4NTQifQ==</vt:lpwstr>
  </property>
</Properties>
</file>